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426"/>
        </w:tabs>
        <w:jc w:val="left"/>
        <w:rPr>
          <w:sz w:val="20"/>
          <w:szCs w:val="20"/>
          <w:highlight w:val="yellow"/>
        </w:rPr>
      </w:pPr>
      <w:r w:rsidDel="00000000" w:rsidR="00000000" w:rsidRPr="00000000">
        <w:rPr>
          <w:rtl w:val="0"/>
        </w:rPr>
      </w:r>
    </w:p>
    <w:p w:rsidR="00000000" w:rsidDel="00000000" w:rsidP="00000000" w:rsidRDefault="00000000" w:rsidRPr="00000000" w14:paraId="00000002">
      <w:pPr>
        <w:jc w:val="center"/>
        <w:rPr>
          <w:sz w:val="20"/>
          <w:szCs w:val="20"/>
        </w:rPr>
      </w:pPr>
      <w:r w:rsidDel="00000000" w:rsidR="00000000" w:rsidRPr="00000000">
        <w:rPr>
          <w:sz w:val="20"/>
          <w:szCs w:val="20"/>
          <w:rtl w:val="0"/>
        </w:rPr>
        <w:br w:type="textWrapping"/>
      </w:r>
      <w:r w:rsidDel="00000000" w:rsidR="00000000" w:rsidRPr="00000000">
        <w:rPr>
          <w:b w:val="1"/>
          <w:sz w:val="28"/>
          <w:szCs w:val="28"/>
          <w:rtl w:val="0"/>
        </w:rPr>
        <w:t xml:space="preserve">Additional information about the Contract Notice</w:t>
      </w:r>
      <w:r w:rsidDel="00000000" w:rsidR="00000000" w:rsidRPr="00000000">
        <w:rPr>
          <w:rtl w:val="0"/>
        </w:rPr>
      </w:r>
    </w:p>
    <w:p w:rsidR="00000000" w:rsidDel="00000000" w:rsidP="00000000" w:rsidRDefault="00000000" w:rsidRPr="00000000" w14:paraId="00000003">
      <w:pPr>
        <w:jc w:val="center"/>
        <w:rPr>
          <w:highlight w:val="white"/>
        </w:rPr>
      </w:pPr>
      <w:r w:rsidDel="00000000" w:rsidR="00000000" w:rsidRPr="00000000">
        <w:rPr>
          <w:highlight w:val="white"/>
          <w:rtl w:val="0"/>
        </w:rPr>
        <w:br w:type="textWrapping"/>
      </w:r>
      <w:r w:rsidDel="00000000" w:rsidR="00000000" w:rsidRPr="00000000">
        <w:rPr>
          <w:highlight w:val="white"/>
          <w:rtl w:val="0"/>
        </w:rPr>
        <w:t xml:space="preserve">EPOKA University_ Purchase of the Equipment in the framework of the implementation of the SUCCESS Erasmus+ CBHE project</w:t>
      </w:r>
      <w:r w:rsidDel="00000000" w:rsidR="00000000" w:rsidRPr="00000000">
        <w:rPr>
          <w:rtl w:val="0"/>
        </w:rPr>
      </w:r>
    </w:p>
    <w:p w:rsidR="00000000" w:rsidDel="00000000" w:rsidP="00000000" w:rsidRDefault="00000000" w:rsidRPr="00000000" w14:paraId="00000004">
      <w:pPr>
        <w:spacing w:after="240" w:lineRule="auto"/>
        <w:jc w:val="center"/>
        <w:rPr>
          <w:highlight w:val="white"/>
        </w:rPr>
      </w:pPr>
      <w:r w:rsidDel="00000000" w:rsidR="00000000" w:rsidRPr="00000000">
        <w:rPr>
          <w:highlight w:val="white"/>
          <w:rtl w:val="0"/>
        </w:rPr>
        <w:t xml:space="preserve">Tirana, Albania</w:t>
      </w:r>
      <w:r w:rsidDel="00000000" w:rsidR="00000000" w:rsidRPr="00000000">
        <w:rPr>
          <w:i w:val="0"/>
          <w:highlight w:val="white"/>
          <w:rtl w:val="0"/>
        </w:rPr>
        <w:t xml:space="preserve"> </w:t>
      </w:r>
      <w:r w:rsidDel="00000000" w:rsidR="00000000" w:rsidRPr="00000000">
        <w:rPr>
          <w:rtl w:val="0"/>
        </w:rPr>
      </w:r>
    </w:p>
    <w:p w:rsidR="00000000" w:rsidDel="00000000" w:rsidP="00000000" w:rsidRDefault="00000000" w:rsidRPr="00000000" w14:paraId="00000005">
      <w:pPr>
        <w:spacing w:after="240" w:lineRule="auto"/>
        <w:jc w:val="center"/>
        <w:rPr>
          <w:sz w:val="28"/>
          <w:szCs w:val="28"/>
          <w:highlight w:val="whit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0"/>
          <w:i w:val="0"/>
          <w:smallCaps w:val="0"/>
          <w:strike w:val="0"/>
          <w:color w:val="000000"/>
          <w:sz w:val="24"/>
          <w:szCs w:val="24"/>
          <w:highlight w:val="whit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Nature of contract</w:t>
      </w:r>
      <w:r w:rsidDel="00000000" w:rsidR="00000000" w:rsidRPr="00000000">
        <w:rPr>
          <w:rtl w:val="0"/>
        </w:rPr>
      </w:r>
    </w:p>
    <w:p w:rsidR="00000000" w:rsidDel="00000000" w:rsidP="00000000" w:rsidRDefault="00000000" w:rsidRPr="00000000" w14:paraId="00000007">
      <w:pPr>
        <w:ind w:firstLine="360"/>
        <w:rPr>
          <w:sz w:val="22"/>
          <w:szCs w:val="22"/>
          <w:highlight w:val="white"/>
        </w:rPr>
      </w:pPr>
      <w:r w:rsidDel="00000000" w:rsidR="00000000" w:rsidRPr="00000000">
        <w:rPr>
          <w:b w:val="0"/>
          <w:sz w:val="22"/>
          <w:szCs w:val="22"/>
          <w:highlight w:val="white"/>
          <w:rtl w:val="0"/>
        </w:rPr>
        <w:t xml:space="preserve"> unit price </w:t>
      </w:r>
      <w:r w:rsidDel="00000000" w:rsidR="00000000" w:rsidRPr="00000000">
        <w:rPr>
          <w:rtl w:val="0"/>
        </w:rPr>
      </w:r>
    </w:p>
    <w:p w:rsidR="00000000" w:rsidDel="00000000" w:rsidP="00000000" w:rsidRDefault="00000000" w:rsidRPr="00000000" w14:paraId="000000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highlight w:val="whit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Programme title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E</w:t>
      </w:r>
      <w:r w:rsidDel="00000000" w:rsidR="00000000" w:rsidRPr="00000000">
        <w:rPr>
          <w:highlight w:val="white"/>
          <w:rtl w:val="0"/>
        </w:rPr>
        <w:t xml:space="preserve">RASMUS</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Programme</w:t>
      </w:r>
    </w:p>
    <w:p w:rsidR="00000000" w:rsidDel="00000000" w:rsidP="00000000" w:rsidRDefault="00000000" w:rsidRPr="00000000" w14:paraId="0000000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highlight w:val="whit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Financing</w:t>
      </w:r>
    </w:p>
    <w:p w:rsidR="00000000" w:rsidDel="00000000" w:rsidP="00000000" w:rsidRDefault="00000000" w:rsidRPr="00000000" w14:paraId="0000000B">
      <w:pPr>
        <w:ind w:left="426" w:right="360" w:firstLine="0"/>
        <w:rPr>
          <w:sz w:val="22"/>
          <w:szCs w:val="22"/>
          <w:highlight w:val="white"/>
        </w:rPr>
      </w:pPr>
      <w:r w:rsidDel="00000000" w:rsidR="00000000" w:rsidRPr="00000000">
        <w:rPr>
          <w:sz w:val="22"/>
          <w:szCs w:val="22"/>
          <w:highlight w:val="white"/>
          <w:rtl w:val="0"/>
        </w:rPr>
        <w:t xml:space="preserve">Budget Heading- Equipment</w:t>
      </w:r>
    </w:p>
    <w:p w:rsidR="00000000" w:rsidDel="00000000" w:rsidP="00000000" w:rsidRDefault="00000000" w:rsidRPr="00000000" w14:paraId="0000000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highlight w:val="whit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Eligibility and rules of origin</w:t>
      </w:r>
    </w:p>
    <w:p w:rsidR="00000000" w:rsidDel="00000000" w:rsidP="00000000" w:rsidRDefault="00000000" w:rsidRPr="00000000" w14:paraId="0000000D">
      <w:pPr>
        <w:widowControl w:val="1"/>
        <w:spacing w:after="120" w:before="0" w:lineRule="auto"/>
        <w:ind w:left="426" w:firstLine="0"/>
        <w:jc w:val="both"/>
        <w:rPr>
          <w:sz w:val="22"/>
          <w:szCs w:val="22"/>
          <w:highlight w:val="white"/>
        </w:rPr>
      </w:pPr>
      <w:r w:rsidDel="00000000" w:rsidR="00000000" w:rsidRPr="00000000">
        <w:rPr>
          <w:sz w:val="22"/>
          <w:szCs w:val="22"/>
          <w:highlight w:val="white"/>
          <w:rtl w:val="0"/>
        </w:rPr>
        <w:t xml:space="preserve">All supplies under this contract may </w:t>
      </w:r>
      <w:r w:rsidDel="00000000" w:rsidR="00000000" w:rsidRPr="00000000">
        <w:rPr>
          <w:highlight w:val="white"/>
          <w:rtl w:val="0"/>
        </w:rPr>
        <w:t xml:space="preserve">originate from any country.</w:t>
      </w:r>
      <w:r w:rsidDel="00000000" w:rsidR="00000000" w:rsidRPr="00000000">
        <w:rPr>
          <w:rtl w:val="0"/>
        </w:rPr>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Candidature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All eligible natural and legal persons (as per item 4 above)</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or groupings of such persons (consortia) may apply.</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consortium may be a permanent, legally-established grouping or a grouping which has been constituted informally for a specific tender procedure. All partners of a consortium (i.e., the leader and all other partners) are jointly and severally liable to the contracting authority.</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participation of an ineligible natural or legal person will result in the automatic exclusion of that person. In particular, if that ineligible person belongs to a consortium, the whole consortium will be excluded. </w:t>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Number of applications or tenders</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 more than one application or tender can be submitted by a natural or legal person whatever the form of participation (as an individual legal entity or as leader or partner of a consortium submitting an application/tender). In the event that a natural or legal person submits more than one application or tender, all applications or tenders in which that person has participated will be excluded.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48"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case of lots, the candidates or tenderers may submit only one application or tender per lot. Contracts will be awarded lot by lot and each lot will form a separate contract.</w:t>
      </w:r>
    </w:p>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48" w:hanging="426"/>
        <w:jc w:val="left"/>
        <w:rPr>
          <w:rFonts w:ascii="Times New Roman" w:cs="Times New Roman" w:eastAsia="Times New Roman" w:hAnsi="Times New Roman"/>
          <w:b w:val="1"/>
          <w:i w:val="0"/>
          <w:smallCaps w:val="0"/>
          <w:strike w:val="0"/>
          <w:color w:val="000000"/>
          <w:sz w:val="22"/>
          <w:szCs w:val="22"/>
          <w:highlight w:val="whit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Tender guarantee</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48"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Tenderers must provide a tender guarantee </w:t>
      </w:r>
      <w:r w:rsidDel="00000000" w:rsidR="00000000" w:rsidRPr="00000000">
        <w:rPr>
          <w:sz w:val="22"/>
          <w:szCs w:val="22"/>
          <w:highlight w:val="white"/>
          <w:rtl w:val="0"/>
        </w:rPr>
        <w:t xml:space="preserve">of an amount</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 1% of the budget available for the contract</w:t>
      </w:r>
      <w:r w:rsidDel="00000000" w:rsidR="00000000" w:rsidRPr="00000000">
        <w:rPr>
          <w:sz w:val="22"/>
          <w:szCs w:val="22"/>
          <w:highlight w:val="whit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 when submitting their tender. This guarantee will be released to unsuccessful tenderers once the tender procedure has been completed and to the successful tenderer[s] upon signature of the contract by all parties. This guarantee will be called upon if the tenderer does not fulfil all obligations stated in its tender.</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left"/>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left"/>
        <w:rPr>
          <w:rFonts w:ascii="Times New Roman" w:cs="Times New Roman" w:eastAsia="Times New Roman" w:hAnsi="Times New Roman"/>
          <w:b w:val="0"/>
          <w:i w:val="0"/>
          <w:smallCaps w:val="0"/>
          <w:strike w:val="0"/>
          <w:color w:val="000000"/>
          <w:sz w:val="22"/>
          <w:szCs w:val="22"/>
          <w:highlight w:val="lightGray"/>
          <w:u w:val="none"/>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Performance guarantee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No performance guarantee required</w:t>
      </w:r>
    </w:p>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Information meeting and/or site visit</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360" w:firstLine="0"/>
        <w:jc w:val="left"/>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No information meeting is planned</w:t>
      </w:r>
    </w:p>
    <w:p w:rsidR="00000000" w:rsidDel="00000000" w:rsidP="00000000" w:rsidRDefault="00000000" w:rsidRPr="00000000" w14:paraId="000000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Tender validity</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Tenders must remain valid for a period of 3 months after the deadline for submission of tenders. In exceptional circumstances, the contracting authority may, before the validity period expires, request that tenderers extend the validity of tenders for a specific period.</w:t>
      </w:r>
    </w:p>
    <w:p w:rsidR="00000000" w:rsidDel="00000000" w:rsidP="00000000" w:rsidRDefault="00000000" w:rsidRPr="00000000" w14:paraId="000000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Grounds for exclusion</w:t>
      </w:r>
    </w:p>
    <w:p w:rsidR="00000000" w:rsidDel="00000000" w:rsidP="00000000" w:rsidRDefault="00000000" w:rsidRPr="00000000" w14:paraId="00000020">
      <w:pPr>
        <w:ind w:left="426" w:firstLine="0"/>
        <w:jc w:val="both"/>
        <w:rPr>
          <w:b w:val="1"/>
          <w:sz w:val="22"/>
          <w:szCs w:val="22"/>
        </w:rPr>
      </w:pPr>
      <w:r w:rsidDel="00000000" w:rsidR="00000000" w:rsidRPr="00000000">
        <w:rPr>
          <w:sz w:val="22"/>
          <w:szCs w:val="22"/>
          <w:rtl w:val="0"/>
        </w:rPr>
        <w:t xml:space="preserve">Candidates or tenderers must submit a signed declaration, included in the application form or tender form, to the effect that they are not in any of the situations listed in Section 2.6.10.1 of the </w:t>
      </w:r>
      <w:r w:rsidDel="00000000" w:rsidR="00000000" w:rsidRPr="00000000">
        <w:rPr>
          <w:b w:val="1"/>
          <w:sz w:val="22"/>
          <w:szCs w:val="22"/>
          <w:rtl w:val="0"/>
        </w:rPr>
        <w:t xml:space="preserve">practical guide (PRAG). </w:t>
      </w:r>
      <w:r w:rsidDel="00000000" w:rsidR="00000000" w:rsidRPr="00000000">
        <w:rPr>
          <w:sz w:val="22"/>
          <w:szCs w:val="22"/>
          <w:rtl w:val="0"/>
        </w:rPr>
        <w:t xml:space="preserve">Where the candidate or tenderer intends to rely on capacity providing entities or subcontractor(s), he/she must provide the same declaration signed by this/these entity(ies).</w:t>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26"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Candidates or tenderers included in the lists of EU restrictive measures (see Section 2.4. of the PRAG) at the moment of the award decision cannot be awarded the contract.</w:t>
      </w:r>
    </w:p>
    <w:p w:rsidR="00000000" w:rsidDel="00000000" w:rsidP="00000000" w:rsidRDefault="00000000" w:rsidRPr="00000000" w14:paraId="0000002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Sub-contracting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EB Garamond" w:cs="EB Garamond" w:eastAsia="EB Garamond" w:hAnsi="EB Garamond"/>
          <w:b w:val="0"/>
          <w:i w:val="0"/>
          <w:smallCaps w:val="0"/>
          <w:strike w:val="0"/>
          <w:sz w:val="22"/>
          <w:szCs w:val="22"/>
          <w:highlight w:val="white"/>
          <w:u w:val="none"/>
          <w:vertAlign w:val="baseline"/>
        </w:rPr>
      </w:pPr>
      <w:r w:rsidDel="00000000" w:rsidR="00000000" w:rsidRPr="00000000">
        <w:rPr>
          <w:rFonts w:ascii="EB Garamond" w:cs="EB Garamond" w:eastAsia="EB Garamond" w:hAnsi="EB Garamond"/>
          <w:sz w:val="22"/>
          <w:szCs w:val="22"/>
          <w:highlight w:val="white"/>
          <w:rtl w:val="0"/>
        </w:rPr>
        <w:t xml:space="preserve">Subcontracting</w:t>
      </w:r>
      <w:r w:rsidDel="00000000" w:rsidR="00000000" w:rsidRPr="00000000">
        <w:rPr>
          <w:rFonts w:ascii="EB Garamond" w:cs="EB Garamond" w:eastAsia="EB Garamond" w:hAnsi="EB Garamond"/>
          <w:b w:val="0"/>
          <w:i w:val="0"/>
          <w:smallCaps w:val="0"/>
          <w:strike w:val="0"/>
          <w:sz w:val="22"/>
          <w:szCs w:val="22"/>
          <w:highlight w:val="white"/>
          <w:u w:val="none"/>
          <w:vertAlign w:val="baseline"/>
          <w:rtl w:val="0"/>
        </w:rPr>
        <w:t xml:space="preserve"> is allowed. </w:t>
      </w:r>
    </w:p>
    <w:p w:rsidR="00000000" w:rsidDel="00000000" w:rsidP="00000000" w:rsidRDefault="00000000" w:rsidRPr="00000000" w14:paraId="0000002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highlight w:val="whit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Provisional date of invitation to tender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sz w:val="22"/>
          <w:szCs w:val="22"/>
          <w:highlight w:val="white"/>
          <w:rtl w:val="0"/>
        </w:rPr>
        <w:t xml:space="preserve">17.01.2022</w:t>
      </w:r>
      <w:r w:rsidDel="00000000" w:rsidR="00000000" w:rsidRPr="00000000">
        <w:rPr>
          <w:rtl w:val="0"/>
        </w:rPr>
      </w:r>
    </w:p>
    <w:p w:rsidR="00000000" w:rsidDel="00000000" w:rsidP="00000000" w:rsidRDefault="00000000" w:rsidRPr="00000000" w14:paraId="0000002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highlight w:val="whit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P</w:t>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eriod of implementation of tasks</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left"/>
        <w:rPr>
          <w:rFonts w:ascii="Times New Roman" w:cs="Times New Roman" w:eastAsia="Times New Roman" w:hAnsi="Times New Roman"/>
          <w:b w:val="0"/>
          <w:i w:val="1"/>
          <w:smallCaps w:val="0"/>
          <w:strike w:val="0"/>
          <w:color w:val="000000"/>
          <w:sz w:val="22"/>
          <w:szCs w:val="22"/>
          <w:highlight w:val="white"/>
          <w:u w:val="none"/>
          <w:vertAlign w:val="baseline"/>
        </w:rPr>
      </w:pPr>
      <w:r w:rsidDel="00000000" w:rsidR="00000000" w:rsidRPr="00000000">
        <w:rPr>
          <w:sz w:val="22"/>
          <w:szCs w:val="22"/>
          <w:highlight w:val="white"/>
          <w:rtl w:val="0"/>
        </w:rPr>
        <w:t xml:space="preserve">45</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 days from contract signature until the provisional acceptance. </w:t>
      </w:r>
      <w:r w:rsidDel="00000000" w:rsidR="00000000" w:rsidRPr="00000000">
        <w:rPr>
          <w:rtl w:val="0"/>
        </w:rPr>
      </w:r>
    </w:p>
    <w:p w:rsidR="00000000" w:rsidDel="00000000" w:rsidP="00000000" w:rsidRDefault="00000000" w:rsidRPr="00000000" w14:paraId="00000028">
      <w:pPr>
        <w:keepNext w:val="1"/>
        <w:keepLines w:val="1"/>
        <w:rPr>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139700</wp:posOffset>
                </wp:positionV>
                <wp:extent cx="5943600" cy="22225"/>
                <wp:effectExtent b="0" l="0" r="0" t="0"/>
                <wp:wrapNone/>
                <wp:docPr id="8" name=""/>
                <a:graphic>
                  <a:graphicData uri="http://schemas.microsoft.com/office/word/2010/wordprocessingShape">
                    <wps:wsp>
                      <wps:cNvCnPr/>
                      <wps:spPr>
                        <a:xfrm>
                          <a:off x="2374200" y="3779683"/>
                          <a:ext cx="5943600" cy="635"/>
                        </a:xfrm>
                        <a:prstGeom prst="straightConnector1">
                          <a:avLst/>
                        </a:prstGeom>
                        <a:noFill/>
                        <a:ln cap="flat" cmpd="sng" w="22225">
                          <a:solidFill>
                            <a:srgbClr val="D4D4D4"/>
                          </a:solidFill>
                          <a:prstDash val="solid"/>
                          <a:round/>
                          <a:headEnd len="med" w="med" type="none"/>
                          <a:tailEnd len="med" w="med" type="none"/>
                        </a:ln>
                        <a:effectLst>
                          <a:outerShdw rotWithShape="0" algn="tr" dir="16200000" dist="12700">
                            <a:srgbClr val="808080"/>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139700</wp:posOffset>
                </wp:positionV>
                <wp:extent cx="5943600" cy="22225"/>
                <wp:effectExtent b="0" l="0" r="0" t="0"/>
                <wp:wrapNone/>
                <wp:docPr id="8"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5943600" cy="22225"/>
                        </a:xfrm>
                        <a:prstGeom prst="rect"/>
                        <a:ln/>
                      </pic:spPr>
                    </pic:pic>
                  </a:graphicData>
                </a:graphic>
              </wp:anchor>
            </w:drawing>
          </mc:Fallback>
        </mc:AlternateContent>
      </w:r>
    </w:p>
    <w:p w:rsidR="00000000" w:rsidDel="00000000" w:rsidP="00000000" w:rsidRDefault="00000000" w:rsidRPr="00000000" w14:paraId="00000029">
      <w:pPr>
        <w:keepNext w:val="1"/>
        <w:keepLines w:val="1"/>
        <w:ind w:left="360" w:firstLine="0"/>
        <w:jc w:val="center"/>
        <w:rPr>
          <w:b w:val="1"/>
          <w:sz w:val="22"/>
          <w:szCs w:val="22"/>
        </w:rPr>
      </w:pPr>
      <w:r w:rsidDel="00000000" w:rsidR="00000000" w:rsidRPr="00000000">
        <w:rPr>
          <w:b w:val="1"/>
          <w:sz w:val="22"/>
          <w:szCs w:val="22"/>
          <w:rtl w:val="0"/>
        </w:rPr>
        <w:t xml:space="preserve">SELECTION AND AWARD CRITERIA</w:t>
      </w:r>
    </w:p>
    <w:p w:rsidR="00000000" w:rsidDel="00000000" w:rsidP="00000000" w:rsidRDefault="00000000" w:rsidRPr="00000000" w14:paraId="0000002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Selection criteria</w:t>
      </w:r>
    </w:p>
    <w:p w:rsidR="00000000" w:rsidDel="00000000" w:rsidP="00000000" w:rsidRDefault="00000000" w:rsidRPr="00000000" w14:paraId="0000002B">
      <w:pPr>
        <w:spacing w:after="0" w:before="240" w:lineRule="auto"/>
        <w:ind w:left="426" w:right="-48" w:firstLine="0"/>
        <w:jc w:val="both"/>
        <w:rPr>
          <w:sz w:val="22"/>
          <w:szCs w:val="22"/>
        </w:rPr>
      </w:pPr>
      <w:r w:rsidDel="00000000" w:rsidR="00000000" w:rsidRPr="00000000">
        <w:rPr>
          <w:sz w:val="22"/>
          <w:szCs w:val="22"/>
          <w:rtl w:val="0"/>
        </w:rPr>
        <w:t xml:space="preserve">The following selection criteria will be applied to candidates. In the case of applications submitted by a consortium, these selection criteria will be applied to the consortium if not specified otherwise.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1134" w:right="357" w:hanging="284.00000000000006"/>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1)</w:t>
        <w:tab/>
        <w:t xml:space="preserve">Economic and financial capacity of tenderer</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(based on i.a., item 3 of the Tender Form for a Supply Contract). In case of tenderer being a public body, equivalent information should be provided. The reference period which will be considered will be the last three years for which accounts have been closed.</w:t>
      </w:r>
    </w:p>
    <w:p w:rsidR="00000000" w:rsidDel="00000000" w:rsidP="00000000" w:rsidRDefault="00000000" w:rsidRPr="00000000" w14:paraId="0000002D">
      <w:pPr>
        <w:ind w:left="414" w:firstLine="720"/>
        <w:rPr>
          <w:highlight w:val="white"/>
        </w:rPr>
      </w:pPr>
      <w:r w:rsidDel="00000000" w:rsidR="00000000" w:rsidRPr="00000000">
        <w:rPr>
          <w:highlight w:val="white"/>
          <w:rtl w:val="0"/>
        </w:rPr>
        <w:t xml:space="preserve">The selection criteria for each tenderer are as follows:</w:t>
      </w:r>
    </w:p>
    <w:p w:rsidR="00000000" w:rsidDel="00000000" w:rsidP="00000000" w:rsidRDefault="00000000" w:rsidRPr="00000000" w14:paraId="0000002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1701" w:right="357" w:hanging="360"/>
        <w:jc w:val="both"/>
        <w:rPr>
          <w:rFonts w:ascii="Times New Roman" w:cs="Times New Roman" w:eastAsia="Times New Roman" w:hAnsi="Times New Roman"/>
          <w:b w:val="0"/>
          <w:i w:val="0"/>
          <w:smallCaps w:val="0"/>
          <w:strike w:val="0"/>
          <w:color w:val="000000"/>
          <w:sz w:val="22"/>
          <w:szCs w:val="22"/>
          <w:highlight w:val="whit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The average annual turnover of the tenderer for the last three completed financial years must exceed 20.000 Euro; and</w:t>
      </w:r>
    </w:p>
    <w:p w:rsidR="00000000" w:rsidDel="00000000" w:rsidP="00000000" w:rsidRDefault="00000000" w:rsidRPr="00000000" w14:paraId="0000002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1701" w:right="357" w:hanging="360"/>
        <w:jc w:val="both"/>
        <w:rPr>
          <w:rFonts w:ascii="Times New Roman" w:cs="Times New Roman" w:eastAsia="Times New Roman" w:hAnsi="Times New Roman"/>
          <w:b w:val="0"/>
          <w:i w:val="0"/>
          <w:smallCaps w:val="0"/>
          <w:strike w:val="0"/>
          <w:color w:val="000000"/>
          <w:sz w:val="22"/>
          <w:szCs w:val="22"/>
          <w:highlight w:val="whit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The averages of cash and cash equivalents at the beginning and end of year are positive</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1" w:right="357"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1" w:right="357" w:firstLine="0"/>
        <w:jc w:val="both"/>
        <w:rPr>
          <w:rFonts w:ascii="Times New Roman" w:cs="Times New Roman" w:eastAsia="Times New Roman" w:hAnsi="Times New Roman"/>
          <w:b w:val="0"/>
          <w:i w:val="1"/>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highlight w:val="white"/>
          <w:u w:val="none"/>
          <w:vertAlign w:val="baseline"/>
          <w:rtl w:val="0"/>
        </w:rPr>
        <w:t xml:space="preserve">Criteria for natural persons: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1" w:right="357"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1-the available financial resources of the tenderer must exceed the annualized maximum budget of the contract and</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1" w:right="357"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2- The financial situation of the tenderer should not be in deficit, </w:t>
      </w:r>
      <w:r w:rsidDel="00000000" w:rsidR="00000000" w:rsidRPr="00000000">
        <w:rPr>
          <w:sz w:val="22"/>
          <w:szCs w:val="22"/>
          <w:highlight w:val="white"/>
          <w:rtl w:val="0"/>
        </w:rPr>
        <w:t xml:space="preserve">taking</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 into account debts, at the beginning and end of year.</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1" w:right="357"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1" w:right="357"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1134" w:right="1" w:hanging="284.00000000000006"/>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2)</w:t>
      </w: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ab/>
        <w:t xml:space="preserve">Professional capacity of tenderer</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 (based on i.a. items 4 and 5 of the Tender Form for a Supply Contract). The reference period which will be taken into account will be the last 3 years from submission deadline.</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0" w:line="240" w:lineRule="auto"/>
        <w:ind w:left="1341" w:right="1"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has a professional certificate appropriate to this contract, such as &lt;</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computer equipment&gt;</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0" w:line="240" w:lineRule="auto"/>
        <w:ind w:left="1341" w:right="1"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2- at least 20% of staff are computer related engineers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1134" w:right="1" w:hanging="284.00000000000006"/>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3)</w:t>
      </w: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ab/>
        <w:t xml:space="preserve">Technical capacity of tenderer</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2"/>
          <w:szCs w:val="22"/>
          <w:highlight w:val="white"/>
          <w:u w:val="none"/>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based on i.a. items 5 and 6 of the Tender Form for a Supply Contract). The reference period which will be considered will be the last 3 years from submission deadline.</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1440" w:right="360" w:firstLine="0"/>
        <w:jc w:val="both"/>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w:t>
      </w:r>
      <w:r w:rsidDel="00000000" w:rsidR="00000000" w:rsidRPr="00000000">
        <w:rPr>
          <w:sz w:val="22"/>
          <w:szCs w:val="22"/>
          <w:highlight w:val="white"/>
          <w:rtl w:val="0"/>
        </w:rPr>
        <w:t xml:space="preserve">The</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 tenderer has delivered supplies under a contract with a budget of at least 15.000 EUR in related fields which were implemented during the last 3 years.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360" w:right="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This means that the contract the tenderer refers to could have been started or completed at any time during the indicated period, but it does not necessarily have to be started and completed during that period, nor implemented during the entire period. 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p>
    <w:p w:rsidR="00000000" w:rsidDel="00000000" w:rsidP="00000000" w:rsidRDefault="00000000" w:rsidRPr="00000000" w14:paraId="0000003C">
      <w:pPr>
        <w:keepNext w:val="0"/>
        <w:keepLines w:val="1"/>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0" w:right="1" w:firstLine="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Capacity-providing entities </w:t>
      </w:r>
    </w:p>
    <w:p w:rsidR="00000000" w:rsidDel="00000000" w:rsidP="00000000" w:rsidRDefault="00000000" w:rsidRPr="00000000" w14:paraId="0000003D">
      <w:pPr>
        <w:keepNext w:val="0"/>
        <w:keepLines w:val="1"/>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360" w:right="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 economic operator may, where appropriate and for a particular contract, rely on the capacities of other entities, regardless of the legal nature of the links which it has with them. Some examples of when it may not be considered appropriate by the Contracting Authority are when the tender rely in majority on the capacities of other entities or when they rely on key criteria. If the tender rely on other entities it must prove to the Contracting Authority that it will have at its disposal the resources necessary for performance of the contract, for example by producing a commitment on the part of those entities to place those resources at its disposal. Such entities, for instance the parent company of the economic operator, must respect the same rules of eligibility and notably that of nationality, as the economic operator. Furthermore, the data for this third entity for the relevant selection criterion should be included in the tender in a separate document. Proof of the capacity will also have to be furnished when requested by the Contracting Authority. </w:t>
      </w:r>
    </w:p>
    <w:p w:rsidR="00000000" w:rsidDel="00000000" w:rsidP="00000000" w:rsidRDefault="00000000" w:rsidRPr="00000000" w14:paraId="0000003E">
      <w:pPr>
        <w:keepNext w:val="0"/>
        <w:keepLines w:val="1"/>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360" w:right="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With regard to technical and professional criteria, a tenderer may only rely on the capacities of other entities where the latter will perform the tasks for which these capacities are required.</w:t>
      </w:r>
    </w:p>
    <w:p w:rsidR="00000000" w:rsidDel="00000000" w:rsidP="00000000" w:rsidRDefault="00000000" w:rsidRPr="00000000" w14:paraId="0000003F">
      <w:pPr>
        <w:keepNext w:val="0"/>
        <w:keepLines w:val="1"/>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360" w:right="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With regard to economic and financial criteria, the entities upon whose capacity the tenderer relies, become jointly and severally liable for the performance of the contract.</w:t>
      </w:r>
    </w:p>
    <w:p w:rsidR="00000000" w:rsidDel="00000000" w:rsidP="00000000" w:rsidRDefault="00000000" w:rsidRPr="00000000" w14:paraId="00000040">
      <w:pPr>
        <w:spacing w:after="0" w:before="240" w:lineRule="auto"/>
        <w:ind w:left="426" w:right="-48" w:firstLine="0"/>
        <w:jc w:val="both"/>
        <w:rPr>
          <w:sz w:val="22"/>
          <w:szCs w:val="22"/>
        </w:rPr>
      </w:pP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Award criteria</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360" w:firstLine="0"/>
        <w:jc w:val="left"/>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Price or, if appropriate after prior approval: Best price-quality ratio.</w:t>
      </w:r>
    </w:p>
    <w:p w:rsidR="00000000" w:rsidDel="00000000" w:rsidP="00000000" w:rsidRDefault="00000000" w:rsidRPr="00000000" w14:paraId="00000043">
      <w:pPr>
        <w:rPr>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139700</wp:posOffset>
                </wp:positionV>
                <wp:extent cx="5943600" cy="22225"/>
                <wp:effectExtent b="0" l="0" r="0" t="0"/>
                <wp:wrapNone/>
                <wp:docPr id="9" name=""/>
                <a:graphic>
                  <a:graphicData uri="http://schemas.microsoft.com/office/word/2010/wordprocessingShape">
                    <wps:wsp>
                      <wps:cNvCnPr/>
                      <wps:spPr>
                        <a:xfrm>
                          <a:off x="2374200" y="3779683"/>
                          <a:ext cx="5943600" cy="635"/>
                        </a:xfrm>
                        <a:prstGeom prst="straightConnector1">
                          <a:avLst/>
                        </a:prstGeom>
                        <a:noFill/>
                        <a:ln cap="flat" cmpd="sng" w="22225">
                          <a:solidFill>
                            <a:srgbClr val="D4D4D4"/>
                          </a:solidFill>
                          <a:prstDash val="solid"/>
                          <a:round/>
                          <a:headEnd len="med" w="med" type="none"/>
                          <a:tailEnd len="med" w="med" type="none"/>
                        </a:ln>
                        <a:effectLst>
                          <a:outerShdw rotWithShape="0" algn="tr" dir="16200000" dist="12700">
                            <a:srgbClr val="808080"/>
                          </a:outerShdw>
                        </a:effectLst>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139700</wp:posOffset>
                </wp:positionV>
                <wp:extent cx="5943600" cy="22225"/>
                <wp:effectExtent b="0" l="0" r="0" t="0"/>
                <wp:wrapNone/>
                <wp:docPr id="9"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943600" cy="22225"/>
                        </a:xfrm>
                        <a:prstGeom prst="rect"/>
                        <a:ln/>
                      </pic:spPr>
                    </pic:pic>
                  </a:graphicData>
                </a:graphic>
              </wp:anchor>
            </w:drawing>
          </mc:Fallback>
        </mc:AlternateConten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100" w:line="240" w:lineRule="auto"/>
        <w:ind w:left="284"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APPLICATION AND TENDERING</w:t>
      </w:r>
    </w:p>
    <w:p w:rsidR="00000000" w:rsidDel="00000000" w:rsidP="00000000" w:rsidRDefault="00000000" w:rsidRPr="00000000" w14:paraId="0000004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How to obtain the tender dossier</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709" w:right="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tender dossier is also available from the Contracting Authority. Tenders must be submitted using the standard Tender Form for a Supply Contract included in the tender dossier, whose format and instructions must be strictly observed.</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709" w:right="1"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ind w:left="709" w:right="1" w:firstLine="0"/>
        <w:jc w:val="both"/>
        <w:rPr>
          <w:sz w:val="22"/>
          <w:szCs w:val="22"/>
          <w:highlight w:val="white"/>
        </w:rPr>
      </w:pPr>
      <w:r w:rsidDel="00000000" w:rsidR="00000000" w:rsidRPr="00000000">
        <w:rPr>
          <w:sz w:val="22"/>
          <w:szCs w:val="22"/>
          <w:highlight w:val="white"/>
          <w:rtl w:val="0"/>
        </w:rPr>
        <w:t xml:space="preserve">Tenderers with questions regarding this tender should send them in writing to:</w:t>
      </w:r>
    </w:p>
    <w:p w:rsidR="00000000" w:rsidDel="00000000" w:rsidP="00000000" w:rsidRDefault="00000000" w:rsidRPr="00000000" w14:paraId="00000049">
      <w:pPr>
        <w:widowControl w:val="1"/>
        <w:shd w:fill="ffffff" w:val="clear"/>
        <w:spacing w:after="24" w:before="24" w:lineRule="auto"/>
        <w:rPr>
          <w:rFonts w:ascii="Verdana" w:cs="Verdana" w:eastAsia="Verdana" w:hAnsi="Verdana"/>
          <w:b w:val="1"/>
          <w:color w:val="000066"/>
          <w:sz w:val="20"/>
          <w:szCs w:val="20"/>
          <w:highlight w:val="white"/>
        </w:rPr>
      </w:pPr>
      <w:r w:rsidDel="00000000" w:rsidR="00000000" w:rsidRPr="00000000">
        <w:rPr>
          <w:rtl w:val="0"/>
        </w:rPr>
      </w:r>
    </w:p>
    <w:p w:rsidR="00000000" w:rsidDel="00000000" w:rsidP="00000000" w:rsidRDefault="00000000" w:rsidRPr="00000000" w14:paraId="0000004A">
      <w:pPr>
        <w:widowControl w:val="1"/>
        <w:shd w:fill="ffffff" w:val="clear"/>
        <w:spacing w:after="24" w:before="24" w:lineRule="auto"/>
        <w:rPr>
          <w:color w:val="222222"/>
          <w:highlight w:val="white"/>
        </w:rPr>
      </w:pPr>
      <w:r w:rsidDel="00000000" w:rsidR="00000000" w:rsidRPr="00000000">
        <w:rPr>
          <w:rFonts w:ascii="Verdana" w:cs="Verdana" w:eastAsia="Verdana" w:hAnsi="Verdana"/>
          <w:b w:val="1"/>
          <w:color w:val="000066"/>
          <w:sz w:val="20"/>
          <w:szCs w:val="20"/>
          <w:highlight w:val="white"/>
          <w:rtl w:val="0"/>
        </w:rPr>
        <w:t xml:space="preserve">Roland Hoxha</w:t>
      </w:r>
      <w:r w:rsidDel="00000000" w:rsidR="00000000" w:rsidRPr="00000000">
        <w:rPr>
          <w:rtl w:val="0"/>
        </w:rPr>
      </w:r>
    </w:p>
    <w:p w:rsidR="00000000" w:rsidDel="00000000" w:rsidP="00000000" w:rsidRDefault="00000000" w:rsidRPr="00000000" w14:paraId="0000004B">
      <w:pPr>
        <w:widowControl w:val="1"/>
        <w:shd w:fill="ffffff" w:val="clear"/>
        <w:spacing w:after="24" w:before="24" w:lineRule="auto"/>
        <w:rPr>
          <w:color w:val="222222"/>
          <w:highlight w:val="white"/>
        </w:rPr>
      </w:pPr>
      <w:r w:rsidDel="00000000" w:rsidR="00000000" w:rsidRPr="00000000">
        <w:rPr>
          <w:rFonts w:ascii="Verdana" w:cs="Verdana" w:eastAsia="Verdana" w:hAnsi="Verdana"/>
          <w:color w:val="000066"/>
          <w:sz w:val="20"/>
          <w:szCs w:val="20"/>
          <w:highlight w:val="white"/>
          <w:rtl w:val="0"/>
        </w:rPr>
        <w:t xml:space="preserve">Administrator</w:t>
      </w:r>
      <w:r w:rsidDel="00000000" w:rsidR="00000000" w:rsidRPr="00000000">
        <w:rPr>
          <w:rtl w:val="0"/>
        </w:rPr>
      </w:r>
    </w:p>
    <w:p w:rsidR="00000000" w:rsidDel="00000000" w:rsidP="00000000" w:rsidRDefault="00000000" w:rsidRPr="00000000" w14:paraId="0000004C">
      <w:pPr>
        <w:widowControl w:val="1"/>
        <w:shd w:fill="ffffff" w:val="clear"/>
        <w:spacing w:after="24" w:before="24" w:lineRule="auto"/>
        <w:rPr>
          <w:rFonts w:ascii="Verdana" w:cs="Verdana" w:eastAsia="Verdana" w:hAnsi="Verdana"/>
          <w:color w:val="000066"/>
          <w:sz w:val="18"/>
          <w:szCs w:val="18"/>
          <w:highlight w:val="white"/>
        </w:rPr>
      </w:pPr>
      <w:r w:rsidDel="00000000" w:rsidR="00000000" w:rsidRPr="00000000">
        <w:rPr>
          <w:rFonts w:ascii="Verdana" w:cs="Verdana" w:eastAsia="Verdana" w:hAnsi="Verdana"/>
          <w:b w:val="1"/>
          <w:color w:val="000066"/>
          <w:sz w:val="20"/>
          <w:szCs w:val="20"/>
          <w:highlight w:val="white"/>
          <w:rtl w:val="0"/>
        </w:rPr>
        <w:t xml:space="preserve">EPOKA University</w:t>
        <w:br w:type="textWrapping"/>
      </w:r>
      <w:r w:rsidDel="00000000" w:rsidR="00000000" w:rsidRPr="00000000">
        <w:rPr>
          <w:rFonts w:ascii="Verdana" w:cs="Verdana" w:eastAsia="Verdana" w:hAnsi="Verdana"/>
          <w:color w:val="000066"/>
          <w:sz w:val="18"/>
          <w:szCs w:val="18"/>
          <w:highlight w:val="white"/>
          <w:rtl w:val="0"/>
        </w:rPr>
        <w:t xml:space="preserve">Address: Autostrada Tiranë-Durrës, Km 12, </w:t>
      </w:r>
    </w:p>
    <w:p w:rsidR="00000000" w:rsidDel="00000000" w:rsidP="00000000" w:rsidRDefault="00000000" w:rsidRPr="00000000" w14:paraId="0000004D">
      <w:pPr>
        <w:widowControl w:val="1"/>
        <w:shd w:fill="ffffff" w:val="clear"/>
        <w:spacing w:after="24" w:before="24" w:lineRule="auto"/>
        <w:rPr>
          <w:color w:val="222222"/>
          <w:highlight w:val="white"/>
        </w:rPr>
      </w:pPr>
      <w:r w:rsidDel="00000000" w:rsidR="00000000" w:rsidRPr="00000000">
        <w:rPr>
          <w:rFonts w:ascii="Verdana" w:cs="Verdana" w:eastAsia="Verdana" w:hAnsi="Verdana"/>
          <w:color w:val="000066"/>
          <w:sz w:val="18"/>
          <w:szCs w:val="18"/>
          <w:highlight w:val="white"/>
          <w:rtl w:val="0"/>
        </w:rPr>
        <w:t xml:space="preserve">1032 Vore</w:t>
      </w:r>
      <w:r w:rsidDel="00000000" w:rsidR="00000000" w:rsidRPr="00000000">
        <w:rPr>
          <w:rtl w:val="0"/>
        </w:rPr>
      </w:r>
    </w:p>
    <w:p w:rsidR="00000000" w:rsidDel="00000000" w:rsidP="00000000" w:rsidRDefault="00000000" w:rsidRPr="00000000" w14:paraId="0000004E">
      <w:pPr>
        <w:widowControl w:val="1"/>
        <w:shd w:fill="ffffff" w:val="clear"/>
        <w:spacing w:after="24" w:before="24" w:lineRule="auto"/>
        <w:rPr>
          <w:color w:val="222222"/>
          <w:highlight w:val="white"/>
        </w:rPr>
      </w:pPr>
      <w:r w:rsidDel="00000000" w:rsidR="00000000" w:rsidRPr="00000000">
        <w:rPr>
          <w:rFonts w:ascii="Verdana" w:cs="Verdana" w:eastAsia="Verdana" w:hAnsi="Verdana"/>
          <w:color w:val="000066"/>
          <w:sz w:val="18"/>
          <w:szCs w:val="18"/>
          <w:highlight w:val="white"/>
          <w:rtl w:val="0"/>
        </w:rPr>
        <w:t xml:space="preserve">Web: </w:t>
      </w:r>
      <w:hyperlink r:id="rId10">
        <w:r w:rsidDel="00000000" w:rsidR="00000000" w:rsidRPr="00000000">
          <w:rPr>
            <w:rFonts w:ascii="Verdana" w:cs="Verdana" w:eastAsia="Verdana" w:hAnsi="Verdana"/>
            <w:color w:val="0000ff"/>
            <w:sz w:val="18"/>
            <w:szCs w:val="18"/>
            <w:highlight w:val="white"/>
            <w:u w:val="single"/>
            <w:rtl w:val="0"/>
          </w:rPr>
          <w:t xml:space="preserve">www.epoka.edu.al</w:t>
        </w:r>
      </w:hyperlink>
      <w:r w:rsidDel="00000000" w:rsidR="00000000" w:rsidRPr="00000000">
        <w:rPr>
          <w:rtl w:val="0"/>
        </w:rPr>
      </w:r>
    </w:p>
    <w:p w:rsidR="00000000" w:rsidDel="00000000" w:rsidP="00000000" w:rsidRDefault="00000000" w:rsidRPr="00000000" w14:paraId="0000004F">
      <w:pPr>
        <w:widowControl w:val="1"/>
        <w:shd w:fill="ffffff" w:val="clear"/>
        <w:spacing w:after="24" w:before="24" w:lineRule="auto"/>
        <w:rPr>
          <w:sz w:val="22"/>
          <w:szCs w:val="22"/>
          <w:highlight w:val="white"/>
        </w:rPr>
      </w:pPr>
      <w:r w:rsidDel="00000000" w:rsidR="00000000" w:rsidRPr="00000000">
        <w:rPr>
          <w:rFonts w:ascii="Verdana" w:cs="Verdana" w:eastAsia="Verdana" w:hAnsi="Verdana"/>
          <w:color w:val="000066"/>
          <w:sz w:val="18"/>
          <w:szCs w:val="18"/>
          <w:highlight w:val="white"/>
          <w:rtl w:val="0"/>
        </w:rPr>
        <w:t xml:space="preserve">Email:</w:t>
      </w:r>
      <w:r w:rsidDel="00000000" w:rsidR="00000000" w:rsidRPr="00000000">
        <w:rPr>
          <w:rFonts w:ascii="Verdana" w:cs="Verdana" w:eastAsia="Verdana" w:hAnsi="Verdana"/>
          <w:color w:val="954f72"/>
          <w:sz w:val="18"/>
          <w:szCs w:val="18"/>
          <w:highlight w:val="white"/>
          <w:u w:val="single"/>
          <w:rtl w:val="0"/>
        </w:rPr>
        <w:t xml:space="preserve"> </w:t>
      </w:r>
      <w:hyperlink r:id="rId11">
        <w:r w:rsidDel="00000000" w:rsidR="00000000" w:rsidRPr="00000000">
          <w:rPr>
            <w:color w:val="0000ff"/>
            <w:sz w:val="22"/>
            <w:szCs w:val="22"/>
            <w:highlight w:val="white"/>
            <w:u w:val="single"/>
            <w:rtl w:val="0"/>
          </w:rPr>
          <w:t xml:space="preserve">administrator@epoka.edu.al</w:t>
        </w:r>
      </w:hyperlink>
      <w:r w:rsidDel="00000000" w:rsidR="00000000" w:rsidRPr="00000000">
        <w:rPr>
          <w:sz w:val="22"/>
          <w:szCs w:val="22"/>
          <w:highlight w:val="white"/>
          <w:rtl w:val="0"/>
        </w:rPr>
        <w:t xml:space="preserve"> </w:t>
      </w:r>
    </w:p>
    <w:p w:rsidR="00000000" w:rsidDel="00000000" w:rsidP="00000000" w:rsidRDefault="00000000" w:rsidRPr="00000000" w14:paraId="00000050">
      <w:pPr>
        <w:widowControl w:val="1"/>
        <w:shd w:fill="ffffff" w:val="clear"/>
        <w:spacing w:after="24" w:before="24" w:lineRule="auto"/>
        <w:rPr>
          <w:sz w:val="22"/>
          <w:szCs w:val="22"/>
          <w:highlight w:val="white"/>
        </w:rPr>
      </w:pPr>
      <w:hyperlink r:id="rId12">
        <w:r w:rsidDel="00000000" w:rsidR="00000000" w:rsidRPr="00000000">
          <w:rPr>
            <w:rFonts w:ascii="Verdana" w:cs="Verdana" w:eastAsia="Verdana" w:hAnsi="Verdana"/>
            <w:color w:val="0000ff"/>
            <w:sz w:val="18"/>
            <w:szCs w:val="18"/>
            <w:highlight w:val="white"/>
            <w:u w:val="single"/>
            <w:rtl w:val="0"/>
          </w:rPr>
          <w:t xml:space="preserve">rhoxha@epoka.edu.al</w:t>
        </w:r>
      </w:hyperlink>
      <w:r w:rsidDel="00000000" w:rsidR="00000000" w:rsidRPr="00000000">
        <w:rPr>
          <w:rFonts w:ascii="Verdana" w:cs="Verdana" w:eastAsia="Verdana" w:hAnsi="Verdana"/>
          <w:color w:val="954f72"/>
          <w:sz w:val="18"/>
          <w:szCs w:val="18"/>
          <w:highlight w:val="white"/>
          <w:u w:val="single"/>
          <w:rtl w:val="0"/>
        </w:rPr>
        <w:t xml:space="preserve"> </w:t>
      </w:r>
      <w:r w:rsidDel="00000000" w:rsidR="00000000" w:rsidRPr="00000000">
        <w:rPr>
          <w:rtl w:val="0"/>
        </w:rPr>
      </w:r>
    </w:p>
    <w:p w:rsidR="00000000" w:rsidDel="00000000" w:rsidP="00000000" w:rsidRDefault="00000000" w:rsidRPr="00000000" w14:paraId="00000051">
      <w:pPr>
        <w:ind w:left="709" w:right="1" w:firstLine="0"/>
        <w:jc w:val="both"/>
        <w:rPr>
          <w:sz w:val="22"/>
          <w:szCs w:val="22"/>
        </w:rPr>
      </w:pPr>
      <w:r w:rsidDel="00000000" w:rsidR="00000000" w:rsidRPr="00000000">
        <w:rPr>
          <w:rtl w:val="0"/>
        </w:rPr>
      </w:r>
    </w:p>
    <w:p w:rsidR="00000000" w:rsidDel="00000000" w:rsidP="00000000" w:rsidRDefault="00000000" w:rsidRPr="00000000" w14:paraId="00000052">
      <w:pPr>
        <w:ind w:left="709" w:right="1" w:firstLine="0"/>
        <w:jc w:val="both"/>
        <w:rPr>
          <w:sz w:val="22"/>
          <w:szCs w:val="22"/>
          <w:highlight w:val="white"/>
        </w:rPr>
      </w:pPr>
      <w:r w:rsidDel="00000000" w:rsidR="00000000" w:rsidRPr="00000000">
        <w:rPr>
          <w:sz w:val="22"/>
          <w:szCs w:val="22"/>
          <w:highlight w:val="white"/>
          <w:rtl w:val="0"/>
        </w:rPr>
        <w:t xml:space="preserve">(Mentioning the publication reference shown in item 1) at least 21 days before the deadline for submission of tenders given in item 19. The Contracting Authority must reply to all tenderers' questions at least 11 days before the</w:t>
      </w:r>
      <w:r w:rsidDel="00000000" w:rsidR="00000000" w:rsidRPr="00000000">
        <w:rPr>
          <w:highlight w:val="white"/>
          <w:rtl w:val="0"/>
        </w:rPr>
        <w:t xml:space="preserve"> </w:t>
      </w:r>
      <w:r w:rsidDel="00000000" w:rsidR="00000000" w:rsidRPr="00000000">
        <w:rPr>
          <w:sz w:val="22"/>
          <w:szCs w:val="22"/>
          <w:highlight w:val="white"/>
          <w:rtl w:val="0"/>
        </w:rPr>
        <w:t xml:space="preserve">deadline for submission of tenders.</w:t>
      </w:r>
    </w:p>
    <w:p w:rsidR="00000000" w:rsidDel="00000000" w:rsidP="00000000" w:rsidRDefault="00000000" w:rsidRPr="00000000" w14:paraId="00000053">
      <w:pPr>
        <w:ind w:left="709" w:right="1" w:firstLine="0"/>
        <w:jc w:val="both"/>
        <w:rPr>
          <w:sz w:val="22"/>
          <w:szCs w:val="22"/>
        </w:rPr>
      </w:pPr>
      <w:r w:rsidDel="00000000" w:rsidR="00000000" w:rsidRPr="00000000">
        <w:rPr>
          <w:rtl w:val="0"/>
        </w:rPr>
      </w:r>
    </w:p>
    <w:p w:rsidR="00000000" w:rsidDel="00000000" w:rsidP="00000000" w:rsidRDefault="00000000" w:rsidRPr="00000000" w14:paraId="00000054">
      <w:pPr>
        <w:ind w:left="709" w:right="1" w:firstLine="0"/>
        <w:jc w:val="both"/>
        <w:rPr>
          <w:b w:val="0"/>
          <w:sz w:val="22"/>
          <w:szCs w:val="22"/>
          <w:highlight w:val="whit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highlight w:val="whit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Tender opening session</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left"/>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sz w:val="22"/>
          <w:szCs w:val="22"/>
          <w:highlight w:val="white"/>
          <w:rtl w:val="0"/>
        </w:rPr>
        <w:t xml:space="preserve">February 11,2022 </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at Diversity Room, E</w:t>
      </w:r>
      <w:r w:rsidDel="00000000" w:rsidR="00000000" w:rsidRPr="00000000">
        <w:rPr>
          <w:sz w:val="22"/>
          <w:szCs w:val="22"/>
          <w:highlight w:val="white"/>
          <w:rtl w:val="0"/>
        </w:rPr>
        <w:t xml:space="preserve">POKA </w:t>
      </w: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University</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left"/>
        <w:rPr>
          <w:sz w:val="22"/>
          <w:szCs w:val="22"/>
          <w:highlight w:val="whit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How applications may be submitted </w:t>
      </w:r>
    </w:p>
    <w:p w:rsidR="00000000" w:rsidDel="00000000" w:rsidP="00000000" w:rsidRDefault="00000000" w:rsidRPr="00000000" w14:paraId="00000059">
      <w:pPr>
        <w:ind w:left="426" w:firstLine="0"/>
        <w:jc w:val="both"/>
        <w:rPr>
          <w:sz w:val="22"/>
          <w:szCs w:val="22"/>
        </w:rPr>
      </w:pPr>
      <w:r w:rsidDel="00000000" w:rsidR="00000000" w:rsidRPr="00000000">
        <w:rPr>
          <w:sz w:val="22"/>
          <w:szCs w:val="22"/>
          <w:rtl w:val="0"/>
        </w:rPr>
        <w:t xml:space="preserve">Applications must be submitted in English exclusively to the contracting authority in a sealed envelope.</w:t>
      </w:r>
    </w:p>
    <w:p w:rsidR="00000000" w:rsidDel="00000000" w:rsidP="00000000" w:rsidRDefault="00000000" w:rsidRPr="00000000" w14:paraId="0000005A">
      <w:pPr>
        <w:numPr>
          <w:ilvl w:val="0"/>
          <w:numId w:val="2"/>
        </w:numPr>
        <w:ind w:left="1069" w:hanging="360"/>
        <w:rPr>
          <w:sz w:val="22"/>
          <w:szCs w:val="22"/>
        </w:rPr>
      </w:pPr>
      <w:r w:rsidDel="00000000" w:rsidR="00000000" w:rsidRPr="00000000">
        <w:rPr>
          <w:sz w:val="22"/>
          <w:szCs w:val="22"/>
          <w:rtl w:val="0"/>
        </w:rPr>
        <w:t xml:space="preserve">Either by post or by courier service, in which case the evidence shall be constituted by the postmark or the date of the deposit slip, to: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360" w:right="360" w:firstLine="0"/>
        <w:jc w:val="center"/>
        <w:rPr>
          <w:rFonts w:ascii="Times New Roman" w:cs="Times New Roman" w:eastAsia="Times New Roman" w:hAnsi="Times New Roman"/>
          <w:b w:val="0"/>
          <w:i w:val="0"/>
          <w:smallCaps w:val="0"/>
          <w:strike w:val="0"/>
          <w:color w:val="073763"/>
          <w:sz w:val="22"/>
          <w:szCs w:val="22"/>
          <w:highlight w:val="white"/>
          <w:u w:val="none"/>
          <w:vertAlign w:val="baseline"/>
        </w:rPr>
      </w:pPr>
      <w:r w:rsidDel="00000000" w:rsidR="00000000" w:rsidRPr="00000000">
        <w:rPr>
          <w:color w:val="073763"/>
          <w:sz w:val="22"/>
          <w:szCs w:val="22"/>
          <w:highlight w:val="white"/>
          <w:rtl w:val="0"/>
        </w:rPr>
        <w:t xml:space="preserve">Roland Hoxha</w:t>
      </w:r>
      <w:r w:rsidDel="00000000" w:rsidR="00000000" w:rsidRPr="00000000">
        <w:rPr>
          <w:rtl w:val="0"/>
        </w:rPr>
      </w:r>
    </w:p>
    <w:p w:rsidR="00000000" w:rsidDel="00000000" w:rsidP="00000000" w:rsidRDefault="00000000" w:rsidRPr="00000000" w14:paraId="0000005C">
      <w:pPr>
        <w:widowControl w:val="1"/>
        <w:shd w:fill="ffffff" w:val="clear"/>
        <w:spacing w:after="0" w:before="24" w:lineRule="auto"/>
        <w:jc w:val="center"/>
        <w:rPr>
          <w:color w:val="073763"/>
          <w:sz w:val="22"/>
          <w:szCs w:val="22"/>
          <w:highlight w:val="white"/>
        </w:rPr>
      </w:pPr>
      <w:r w:rsidDel="00000000" w:rsidR="00000000" w:rsidRPr="00000000">
        <w:rPr>
          <w:b w:val="1"/>
          <w:color w:val="073763"/>
          <w:sz w:val="22"/>
          <w:szCs w:val="22"/>
          <w:highlight w:val="white"/>
          <w:rtl w:val="0"/>
        </w:rPr>
        <w:t xml:space="preserve">EPOKA University</w:t>
        <w:br w:type="textWrapping"/>
      </w:r>
      <w:r w:rsidDel="00000000" w:rsidR="00000000" w:rsidRPr="00000000">
        <w:rPr>
          <w:color w:val="073763"/>
          <w:sz w:val="22"/>
          <w:szCs w:val="22"/>
          <w:highlight w:val="white"/>
          <w:rtl w:val="0"/>
        </w:rPr>
        <w:t xml:space="preserve">Address: Autostrada Tiranë-Durrës, Km 12, </w:t>
      </w:r>
    </w:p>
    <w:p w:rsidR="00000000" w:rsidDel="00000000" w:rsidP="00000000" w:rsidRDefault="00000000" w:rsidRPr="00000000" w14:paraId="0000005D">
      <w:pPr>
        <w:widowControl w:val="1"/>
        <w:shd w:fill="ffffff" w:val="clear"/>
        <w:spacing w:after="0" w:before="24" w:lineRule="auto"/>
        <w:jc w:val="center"/>
        <w:rPr>
          <w:color w:val="073763"/>
          <w:sz w:val="22"/>
          <w:szCs w:val="22"/>
          <w:highlight w:val="white"/>
        </w:rPr>
      </w:pPr>
      <w:r w:rsidDel="00000000" w:rsidR="00000000" w:rsidRPr="00000000">
        <w:rPr>
          <w:color w:val="073763"/>
          <w:sz w:val="22"/>
          <w:szCs w:val="22"/>
          <w:highlight w:val="white"/>
          <w:rtl w:val="0"/>
        </w:rPr>
        <w:t xml:space="preserve">1032 Vore</w:t>
      </w:r>
    </w:p>
    <w:p w:rsidR="00000000" w:rsidDel="00000000" w:rsidP="00000000" w:rsidRDefault="00000000" w:rsidRPr="00000000" w14:paraId="0000005E">
      <w:pPr>
        <w:widowControl w:val="1"/>
        <w:shd w:fill="ffffff" w:val="clear"/>
        <w:spacing w:after="0" w:before="24" w:lineRule="auto"/>
        <w:jc w:val="center"/>
        <w:rPr>
          <w:color w:val="0c343d"/>
          <w:sz w:val="26"/>
          <w:szCs w:val="26"/>
          <w:highlight w:val="white"/>
        </w:rPr>
      </w:pPr>
      <w:r w:rsidDel="00000000" w:rsidR="00000000" w:rsidRPr="00000000">
        <w:rPr>
          <w:color w:val="0c343d"/>
          <w:sz w:val="22"/>
          <w:szCs w:val="22"/>
          <w:highlight w:val="white"/>
          <w:rtl w:val="0"/>
        </w:rPr>
        <w:t xml:space="preserve">Phone: </w:t>
      </w:r>
      <w:r w:rsidDel="00000000" w:rsidR="00000000" w:rsidRPr="00000000">
        <w:rPr>
          <w:color w:val="0c343d"/>
          <w:sz w:val="22"/>
          <w:szCs w:val="22"/>
          <w:highlight w:val="white"/>
          <w:rtl w:val="0"/>
        </w:rPr>
        <w:t xml:space="preserve">+355 4 2232 086</w:t>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360" w:right="360" w:firstLine="0"/>
        <w:jc w:val="center"/>
        <w:rPr>
          <w:rFonts w:ascii="Times New Roman" w:cs="Times New Roman" w:eastAsia="Times New Roman" w:hAnsi="Times New Roman"/>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60">
      <w:pPr>
        <w:numPr>
          <w:ilvl w:val="0"/>
          <w:numId w:val="2"/>
        </w:numPr>
        <w:ind w:left="1069" w:hanging="360"/>
        <w:rPr>
          <w:sz w:val="22"/>
          <w:szCs w:val="22"/>
        </w:rPr>
      </w:pPr>
      <w:r w:rsidDel="00000000" w:rsidR="00000000" w:rsidRPr="00000000">
        <w:rPr>
          <w:sz w:val="22"/>
          <w:szCs w:val="22"/>
          <w:rtl w:val="0"/>
        </w:rPr>
        <w:t xml:space="preserve">OR hand delivered by the participant in person or by an agent</w:t>
      </w:r>
      <w:r w:rsidDel="00000000" w:rsidR="00000000" w:rsidRPr="00000000">
        <w:rPr>
          <w:rtl w:val="0"/>
        </w:rPr>
        <w:t xml:space="preserve"> directly</w:t>
      </w:r>
      <w:r w:rsidDel="00000000" w:rsidR="00000000" w:rsidRPr="00000000">
        <w:rPr>
          <w:sz w:val="22"/>
          <w:szCs w:val="22"/>
          <w:rtl w:val="0"/>
        </w:rPr>
        <w:t xml:space="preserve"> to the premises of the contracting authority in return for a </w:t>
      </w:r>
      <w:r w:rsidDel="00000000" w:rsidR="00000000" w:rsidRPr="00000000">
        <w:rPr>
          <w:rtl w:val="0"/>
        </w:rPr>
        <w:t xml:space="preserve">signed and dated receipt</w:t>
      </w:r>
      <w:r w:rsidDel="00000000" w:rsidR="00000000" w:rsidRPr="00000000">
        <w:rPr>
          <w:sz w:val="22"/>
          <w:szCs w:val="22"/>
          <w:rtl w:val="0"/>
        </w:rPr>
        <w:t xml:space="preserve">, in which case the evidence shall be constituted by this acknowledgement of receipt, to: </w:t>
      </w:r>
    </w:p>
    <w:p w:rsidR="00000000" w:rsidDel="00000000" w:rsidP="00000000" w:rsidRDefault="00000000" w:rsidRPr="00000000" w14:paraId="00000061">
      <w:pPr>
        <w:widowControl w:val="1"/>
        <w:shd w:fill="ffffff" w:val="clear"/>
        <w:spacing w:after="0" w:before="24" w:lineRule="auto"/>
        <w:jc w:val="center"/>
        <w:rPr>
          <w:i w:val="0"/>
          <w:sz w:val="22"/>
          <w:szCs w:val="22"/>
        </w:rPr>
      </w:pPr>
      <w:r w:rsidDel="00000000" w:rsidR="00000000" w:rsidRPr="00000000">
        <w:rPr>
          <w:rtl w:val="0"/>
        </w:rPr>
      </w:r>
    </w:p>
    <w:p w:rsidR="00000000" w:rsidDel="00000000" w:rsidP="00000000" w:rsidRDefault="00000000" w:rsidRPr="00000000" w14:paraId="00000062">
      <w:pPr>
        <w:widowControl w:val="1"/>
        <w:shd w:fill="ffffff" w:val="clear"/>
        <w:spacing w:after="0" w:before="24" w:lineRule="auto"/>
        <w:jc w:val="center"/>
        <w:rPr>
          <w:color w:val="0c343d"/>
          <w:sz w:val="22"/>
          <w:szCs w:val="22"/>
        </w:rPr>
      </w:pPr>
      <w:r w:rsidDel="00000000" w:rsidR="00000000" w:rsidRPr="00000000">
        <w:rPr>
          <w:color w:val="0c343d"/>
          <w:sz w:val="22"/>
          <w:szCs w:val="22"/>
          <w:highlight w:val="white"/>
          <w:rtl w:val="0"/>
        </w:rPr>
        <w:t xml:space="preserve">Roland Hoxha</w:t>
      </w:r>
      <w:r w:rsidDel="00000000" w:rsidR="00000000" w:rsidRPr="00000000">
        <w:rPr>
          <w:i w:val="0"/>
          <w:color w:val="0c343d"/>
          <w:sz w:val="22"/>
          <w:szCs w:val="22"/>
          <w:highlight w:val="white"/>
          <w:rtl w:val="0"/>
        </w:rPr>
        <w:br w:type="textWrapping"/>
      </w:r>
      <w:r w:rsidDel="00000000" w:rsidR="00000000" w:rsidRPr="00000000">
        <w:rPr>
          <w:b w:val="1"/>
          <w:color w:val="0c343d"/>
          <w:sz w:val="22"/>
          <w:szCs w:val="22"/>
          <w:rtl w:val="0"/>
        </w:rPr>
        <w:t xml:space="preserve">EPOKA University</w:t>
        <w:br w:type="textWrapping"/>
      </w:r>
      <w:r w:rsidDel="00000000" w:rsidR="00000000" w:rsidRPr="00000000">
        <w:rPr>
          <w:color w:val="0c343d"/>
          <w:sz w:val="22"/>
          <w:szCs w:val="22"/>
          <w:rtl w:val="0"/>
        </w:rPr>
        <w:t xml:space="preserve">Address: Autostrada Tiranë-Durrës, Km 12, </w:t>
      </w:r>
    </w:p>
    <w:p w:rsidR="00000000" w:rsidDel="00000000" w:rsidP="00000000" w:rsidRDefault="00000000" w:rsidRPr="00000000" w14:paraId="00000063">
      <w:pPr>
        <w:widowControl w:val="1"/>
        <w:shd w:fill="ffffff" w:val="clear"/>
        <w:spacing w:after="0" w:before="24" w:lineRule="auto"/>
        <w:jc w:val="center"/>
        <w:rPr>
          <w:color w:val="0c343d"/>
          <w:sz w:val="22"/>
          <w:szCs w:val="22"/>
        </w:rPr>
      </w:pPr>
      <w:r w:rsidDel="00000000" w:rsidR="00000000" w:rsidRPr="00000000">
        <w:rPr>
          <w:color w:val="0c343d"/>
          <w:sz w:val="22"/>
          <w:szCs w:val="22"/>
          <w:rtl w:val="0"/>
        </w:rPr>
        <w:t xml:space="preserve">1032 Vore</w:t>
      </w:r>
    </w:p>
    <w:p w:rsidR="00000000" w:rsidDel="00000000" w:rsidP="00000000" w:rsidRDefault="00000000" w:rsidRPr="00000000" w14:paraId="00000064">
      <w:pPr>
        <w:widowControl w:val="1"/>
        <w:shd w:fill="ffffff" w:val="clear"/>
        <w:spacing w:after="0" w:before="24" w:lineRule="auto"/>
        <w:jc w:val="center"/>
        <w:rPr>
          <w:i w:val="1"/>
          <w:color w:val="0c343d"/>
          <w:sz w:val="22"/>
          <w:szCs w:val="22"/>
        </w:rPr>
      </w:pPr>
      <w:r w:rsidDel="00000000" w:rsidR="00000000" w:rsidRPr="00000000">
        <w:rPr>
          <w:color w:val="0c343d"/>
          <w:sz w:val="22"/>
          <w:szCs w:val="22"/>
          <w:rtl w:val="0"/>
        </w:rPr>
        <w:t xml:space="preserve">Working Hours: 08:30-16:30</w:t>
      </w:r>
      <w:r w:rsidDel="00000000" w:rsidR="00000000" w:rsidRPr="00000000">
        <w:rPr>
          <w:rtl w:val="0"/>
        </w:rPr>
      </w:r>
    </w:p>
    <w:p w:rsidR="00000000" w:rsidDel="00000000" w:rsidP="00000000" w:rsidRDefault="00000000" w:rsidRPr="00000000" w14:paraId="00000065">
      <w:pPr>
        <w:widowControl w:val="1"/>
        <w:shd w:fill="ffffff" w:val="clear"/>
        <w:spacing w:after="0" w:before="24" w:lineRule="auto"/>
        <w:jc w:val="center"/>
        <w:rPr>
          <w:i w:val="1"/>
          <w:color w:val="0c343d"/>
          <w:sz w:val="22"/>
          <w:szCs w:val="22"/>
        </w:rPr>
      </w:pPr>
      <w:r w:rsidDel="00000000" w:rsidR="00000000" w:rsidRPr="00000000">
        <w:rPr>
          <w:color w:val="0c343d"/>
          <w:sz w:val="22"/>
          <w:szCs w:val="22"/>
          <w:highlight w:val="white"/>
          <w:rtl w:val="0"/>
        </w:rPr>
        <w:t xml:space="preserve">Phone: +355 4 2232 086</w:t>
      </w:r>
      <w:r w:rsidDel="00000000" w:rsidR="00000000" w:rsidRPr="00000000">
        <w:rPr>
          <w:rtl w:val="0"/>
        </w:rPr>
      </w:r>
    </w:p>
    <w:p w:rsidR="00000000" w:rsidDel="00000000" w:rsidP="00000000" w:rsidRDefault="00000000" w:rsidRPr="00000000" w14:paraId="00000066">
      <w:pPr>
        <w:ind w:left="426" w:firstLine="0"/>
        <w:jc w:val="both"/>
        <w:rPr>
          <w:sz w:val="22"/>
          <w:szCs w:val="22"/>
        </w:rPr>
      </w:pPr>
      <w:r w:rsidDel="00000000" w:rsidR="00000000" w:rsidRPr="00000000">
        <w:rPr>
          <w:sz w:val="22"/>
          <w:szCs w:val="22"/>
          <w:rtl w:val="0"/>
        </w:rPr>
        <w:t xml:space="preserve">The contract title and publication reference (see contract notice) must be clearly marked on the envelope containing the application and must always be mentioned in all subsequent correspondence with the contracting authority. </w:t>
      </w:r>
    </w:p>
    <w:p w:rsidR="00000000" w:rsidDel="00000000" w:rsidP="00000000" w:rsidRDefault="00000000" w:rsidRPr="00000000" w14:paraId="00000067">
      <w:pPr>
        <w:tabs>
          <w:tab w:val="left" w:pos="426"/>
        </w:tabs>
        <w:ind w:left="426" w:firstLine="0"/>
        <w:jc w:val="both"/>
        <w:rPr>
          <w:sz w:val="22"/>
          <w:szCs w:val="22"/>
        </w:rPr>
      </w:pPr>
      <w:r w:rsidDel="00000000" w:rsidR="00000000" w:rsidRPr="00000000">
        <w:rPr>
          <w:sz w:val="22"/>
          <w:szCs w:val="22"/>
          <w:rtl w:val="0"/>
        </w:rPr>
        <w:t xml:space="preserve">Applications submitted by any other means will not be considered. </w:t>
      </w:r>
    </w:p>
    <w:p w:rsidR="00000000" w:rsidDel="00000000" w:rsidP="00000000" w:rsidRDefault="00000000" w:rsidRPr="00000000" w14:paraId="00000068">
      <w:pPr>
        <w:tabs>
          <w:tab w:val="left" w:pos="426"/>
        </w:tabs>
        <w:ind w:left="426" w:firstLine="0"/>
        <w:jc w:val="both"/>
        <w:rPr>
          <w:sz w:val="22"/>
          <w:szCs w:val="22"/>
        </w:rPr>
      </w:pPr>
      <w:r w:rsidDel="00000000" w:rsidR="00000000" w:rsidRPr="00000000">
        <w:rPr>
          <w:sz w:val="22"/>
          <w:szCs w:val="22"/>
          <w:rtl w:val="0"/>
        </w:rPr>
        <w:t xml:space="preserve">By submitting an application candidates accept to receive notification of the outcome of the procedure by electronic means. Such notification shall be deemed to have been received on the date upon which the contracting authority sends it to the electronic address referred to in the application form. </w:t>
      </w:r>
    </w:p>
    <w:p w:rsidR="00000000" w:rsidDel="00000000" w:rsidP="00000000" w:rsidRDefault="00000000" w:rsidRPr="00000000" w14:paraId="0000006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567" w:right="0" w:hanging="567"/>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Deadline for submission of applications</w: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candidate’s attention is drawn to the fact that there are two different systems for sending applications: one is by post or private mail service, the other is by hand delivery.</w:t>
      </w: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In the first case, the application must be sent before the date and time limit for submission, as evidenced by the postmark or deposit slip</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but in the second case it is the acknowledgment of receipt given at the time of the delivery of the application that will serve as proof.</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The deadline for submission of applications can be found in the Contract Notice under IV.2.2.</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Any application sent to the contracting authority after this deadline will not be considered.</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contracting authority may, for reasons of administrative efficiency, reject any application submitted on time but received, for any reason beyond the contracting authority's control, after the effective date of approval of the short-list report, if accepting applications that were submitted on time but arrived late would considerably delay the evaluation procedure or jeopardise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decisions already taken and notified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Alteration or withdrawal of applications</w:t>
      </w:r>
    </w:p>
    <w:p w:rsidR="00000000" w:rsidDel="00000000" w:rsidP="00000000" w:rsidRDefault="00000000" w:rsidRPr="00000000" w14:paraId="00000070">
      <w:pPr>
        <w:ind w:left="426" w:firstLine="0"/>
        <w:jc w:val="both"/>
        <w:rPr>
          <w:sz w:val="22"/>
          <w:szCs w:val="22"/>
        </w:rPr>
      </w:pPr>
      <w:r w:rsidDel="00000000" w:rsidR="00000000" w:rsidRPr="00000000">
        <w:rPr>
          <w:sz w:val="22"/>
          <w:szCs w:val="22"/>
          <w:rtl w:val="0"/>
        </w:rPr>
        <w:t xml:space="preserve">Applicants may alter or withdraw their applications by written notification prior to the deadline for submission of applications. No applications may be altered after this deadline. </w:t>
      </w:r>
    </w:p>
    <w:p w:rsidR="00000000" w:rsidDel="00000000" w:rsidP="00000000" w:rsidRDefault="00000000" w:rsidRPr="00000000" w14:paraId="00000071">
      <w:pPr>
        <w:ind w:left="426" w:firstLine="0"/>
        <w:jc w:val="both"/>
        <w:rPr>
          <w:sz w:val="22"/>
          <w:szCs w:val="22"/>
        </w:rPr>
      </w:pPr>
      <w:r w:rsidDel="00000000" w:rsidR="00000000" w:rsidRPr="00000000">
        <w:rPr>
          <w:sz w:val="22"/>
          <w:szCs w:val="22"/>
          <w:rtl w:val="0"/>
        </w:rPr>
        <w:t xml:space="preserve">Any such notification of alteration or withdrawal shall be prepared and submitted in accordance with precedent item. The outer envelope (and the relevant inner envelope if used) must be marked ‘Alteration’ or ‘Withdrawal’ as appropriate. </w:t>
      </w:r>
    </w:p>
    <w:p w:rsidR="00000000" w:rsidDel="00000000" w:rsidP="00000000" w:rsidRDefault="00000000" w:rsidRPr="00000000" w14:paraId="0000007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00" w:before="100" w:line="240" w:lineRule="auto"/>
        <w:ind w:left="426" w:right="0" w:hanging="426"/>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Language of the procedure</w:t>
      </w:r>
    </w:p>
    <w:p w:rsidR="00000000" w:rsidDel="00000000" w:rsidP="00000000" w:rsidRDefault="00000000" w:rsidRPr="00000000" w14:paraId="00000073">
      <w:pPr>
        <w:ind w:left="426" w:firstLine="0"/>
        <w:jc w:val="both"/>
        <w:rPr>
          <w:sz w:val="22"/>
          <w:szCs w:val="22"/>
        </w:rPr>
      </w:pPr>
      <w:r w:rsidDel="00000000" w:rsidR="00000000" w:rsidRPr="00000000">
        <w:rPr>
          <w:sz w:val="22"/>
          <w:szCs w:val="22"/>
          <w:rtl w:val="0"/>
        </w:rPr>
        <w:t xml:space="preserve">All written communications for this tender procedure and contract must be in English. </w:t>
      </w:r>
    </w:p>
    <w:p w:rsidR="00000000" w:rsidDel="00000000" w:rsidP="00000000" w:rsidRDefault="00000000" w:rsidRPr="00000000" w14:paraId="00000074">
      <w:pPr>
        <w:ind w:left="426" w:hanging="426"/>
        <w:rPr>
          <w:b w:val="1"/>
          <w:sz w:val="22"/>
          <w:szCs w:val="22"/>
          <w:highlight w:val="white"/>
        </w:rPr>
      </w:pPr>
      <w:r w:rsidDel="00000000" w:rsidR="00000000" w:rsidRPr="00000000">
        <w:rPr>
          <w:b w:val="1"/>
          <w:sz w:val="22"/>
          <w:szCs w:val="22"/>
          <w:rtl w:val="0"/>
        </w:rPr>
        <w:t xml:space="preserve">28.</w:t>
        <w:tab/>
        <w:t xml:space="preserve">Legal basis</w:t>
      </w:r>
      <w:r w:rsidDel="00000000" w:rsidR="00000000" w:rsidRPr="00000000">
        <w:rPr>
          <w:sz w:val="22"/>
          <w:szCs w:val="22"/>
          <w:highlight w:val="white"/>
          <w:vertAlign w:val="superscript"/>
        </w:rPr>
        <w:footnoteReference w:customMarkFollows="0" w:id="1"/>
      </w:r>
      <w:r w:rsidDel="00000000" w:rsidR="00000000" w:rsidRPr="00000000">
        <w:rPr>
          <w:rtl w:val="0"/>
        </w:rPr>
      </w:r>
    </w:p>
    <w:p w:rsidR="00000000" w:rsidDel="00000000" w:rsidP="00000000" w:rsidRDefault="00000000" w:rsidRPr="00000000" w14:paraId="00000075">
      <w:pPr>
        <w:ind w:left="426" w:firstLine="0"/>
        <w:jc w:val="both"/>
        <w:rPr>
          <w:sz w:val="22"/>
          <w:szCs w:val="22"/>
          <w:highlight w:val="white"/>
        </w:rPr>
      </w:pPr>
      <w:r w:rsidDel="00000000" w:rsidR="00000000" w:rsidRPr="00000000">
        <w:rPr>
          <w:sz w:val="22"/>
          <w:szCs w:val="22"/>
          <w:highlight w:val="white"/>
          <w:rtl w:val="0"/>
        </w:rPr>
        <w:t xml:space="preserve">Regulation or other instrument under which this contract is to be financed - See Annex A2 of the practical guide.</w:t>
      </w:r>
    </w:p>
    <w:p w:rsidR="00000000" w:rsidDel="00000000" w:rsidP="00000000" w:rsidRDefault="00000000" w:rsidRPr="00000000" w14:paraId="00000076">
      <w:pPr>
        <w:ind w:left="426" w:right="4" w:firstLine="0"/>
        <w:jc w:val="both"/>
        <w:rPr>
          <w:sz w:val="22"/>
          <w:szCs w:val="22"/>
        </w:rPr>
      </w:pPr>
      <w:r w:rsidDel="00000000" w:rsidR="00000000" w:rsidRPr="00000000">
        <w:rPr>
          <w:rtl w:val="0"/>
        </w:rPr>
      </w:r>
    </w:p>
    <w:p w:rsidR="00000000" w:rsidDel="00000000" w:rsidP="00000000" w:rsidRDefault="00000000" w:rsidRPr="00000000" w14:paraId="00000077">
      <w:pPr>
        <w:ind w:left="426" w:hanging="426"/>
        <w:rPr>
          <w:b w:val="1"/>
          <w:sz w:val="22"/>
          <w:szCs w:val="22"/>
        </w:rPr>
      </w:pPr>
      <w:r w:rsidDel="00000000" w:rsidR="00000000" w:rsidRPr="00000000">
        <w:rPr>
          <w:b w:val="1"/>
          <w:sz w:val="22"/>
          <w:szCs w:val="22"/>
          <w:rtl w:val="0"/>
        </w:rPr>
        <w:t xml:space="preserve">29.</w:t>
        <w:tab/>
        <w:t xml:space="preserve">Additional information</w:t>
      </w:r>
    </w:p>
    <w:p w:rsidR="00000000" w:rsidDel="00000000" w:rsidP="00000000" w:rsidRDefault="00000000" w:rsidRPr="00000000" w14:paraId="00000078">
      <w:pPr>
        <w:ind w:left="426" w:firstLine="0"/>
        <w:jc w:val="both"/>
        <w:rPr>
          <w:i w:val="1"/>
          <w:highlight w:val="white"/>
        </w:rPr>
      </w:pPr>
      <w:r w:rsidDel="00000000" w:rsidR="00000000" w:rsidRPr="00000000">
        <w:rPr>
          <w:sz w:val="22"/>
          <w:szCs w:val="22"/>
          <w:highlight w:val="white"/>
          <w:rtl w:val="0"/>
        </w:rPr>
        <w:t xml:space="preserve">NA</w:t>
      </w:r>
      <w:r w:rsidDel="00000000" w:rsidR="00000000" w:rsidRPr="00000000">
        <w:rPr>
          <w:rtl w:val="0"/>
        </w:rPr>
      </w:r>
    </w:p>
    <w:sectPr>
      <w:footerReference r:id="rId13"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 w:name="Courier New"/>
  <w:font w:name="EB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36"/>
        <w:tab w:val="right" w:pos="9072"/>
      </w:tabs>
      <w:spacing w:after="0" w:before="120" w:line="240" w:lineRule="auto"/>
      <w:ind w:left="0" w:right="0" w:firstLine="0"/>
      <w:jc w:val="left"/>
      <w:rPr>
        <w:rFonts w:ascii="Times New Roman" w:cs="Times New Roman" w:eastAsia="Times New Roman" w:hAnsi="Times New Roman"/>
        <w:b w:val="1"/>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a5f__additional_information_contract_notice_en</w:t>
      <w:tab/>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It is recommended to use registered mail in case the postmark would not be readable.</w:t>
      </w:r>
    </w:p>
  </w:footnote>
  <w:footnote w:id="1">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Please state any specificity that might have an impact on rules on participation (such as geographic or thematic or long/short term).</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67" w:firstLine="0"/>
      </w:pPr>
      <w:rPr>
        <w:rFonts w:ascii="Times New Roman" w:cs="Times New Roman" w:eastAsia="Times New Roman" w:hAnsi="Times New Roman"/>
        <w:b w:val="1"/>
        <w:i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1"/>
      <w:numFmt w:val="bullet"/>
      <w:lvlText w:val="-"/>
      <w:lvlJc w:val="left"/>
      <w:pPr>
        <w:ind w:left="1069" w:hanging="360"/>
      </w:pPr>
      <w:rPr>
        <w:rFonts w:ascii="Times New Roman" w:cs="Times New Roman" w:eastAsia="Times New Roman" w:hAnsi="Times New Roman"/>
      </w:rPr>
    </w:lvl>
    <w:lvl w:ilvl="1">
      <w:start w:val="1"/>
      <w:numFmt w:val="bullet"/>
      <w:lvlText w:val="o"/>
      <w:lvlJc w:val="left"/>
      <w:pPr>
        <w:ind w:left="1789" w:hanging="360"/>
      </w:pPr>
      <w:rPr>
        <w:rFonts w:ascii="Courier New" w:cs="Courier New" w:eastAsia="Courier New" w:hAnsi="Courier New"/>
      </w:rPr>
    </w:lvl>
    <w:lvl w:ilvl="2">
      <w:start w:val="1"/>
      <w:numFmt w:val="bullet"/>
      <w:lvlText w:val="▪"/>
      <w:lvlJc w:val="left"/>
      <w:pPr>
        <w:ind w:left="2509" w:hanging="360"/>
      </w:pPr>
      <w:rPr>
        <w:rFonts w:ascii="Noto Sans Symbols" w:cs="Noto Sans Symbols" w:eastAsia="Noto Sans Symbols" w:hAnsi="Noto Sans Symbols"/>
      </w:rPr>
    </w:lvl>
    <w:lvl w:ilvl="3">
      <w:start w:val="1"/>
      <w:numFmt w:val="bullet"/>
      <w:lvlText w:val="●"/>
      <w:lvlJc w:val="left"/>
      <w:pPr>
        <w:ind w:left="3229" w:hanging="360"/>
      </w:pPr>
      <w:rPr>
        <w:rFonts w:ascii="Noto Sans Symbols" w:cs="Noto Sans Symbols" w:eastAsia="Noto Sans Symbols" w:hAnsi="Noto Sans Symbols"/>
      </w:rPr>
    </w:lvl>
    <w:lvl w:ilvl="4">
      <w:start w:val="1"/>
      <w:numFmt w:val="bullet"/>
      <w:lvlText w:val="o"/>
      <w:lvlJc w:val="left"/>
      <w:pPr>
        <w:ind w:left="3949" w:hanging="360"/>
      </w:pPr>
      <w:rPr>
        <w:rFonts w:ascii="Courier New" w:cs="Courier New" w:eastAsia="Courier New" w:hAnsi="Courier New"/>
      </w:rPr>
    </w:lvl>
    <w:lvl w:ilvl="5">
      <w:start w:val="1"/>
      <w:numFmt w:val="bullet"/>
      <w:lvlText w:val="▪"/>
      <w:lvlJc w:val="left"/>
      <w:pPr>
        <w:ind w:left="4669" w:hanging="360"/>
      </w:pPr>
      <w:rPr>
        <w:rFonts w:ascii="Noto Sans Symbols" w:cs="Noto Sans Symbols" w:eastAsia="Noto Sans Symbols" w:hAnsi="Noto Sans Symbols"/>
      </w:rPr>
    </w:lvl>
    <w:lvl w:ilvl="6">
      <w:start w:val="1"/>
      <w:numFmt w:val="bullet"/>
      <w:lvlText w:val="●"/>
      <w:lvlJc w:val="left"/>
      <w:pPr>
        <w:ind w:left="5389" w:hanging="360"/>
      </w:pPr>
      <w:rPr>
        <w:rFonts w:ascii="Noto Sans Symbols" w:cs="Noto Sans Symbols" w:eastAsia="Noto Sans Symbols" w:hAnsi="Noto Sans Symbols"/>
      </w:rPr>
    </w:lvl>
    <w:lvl w:ilvl="7">
      <w:start w:val="1"/>
      <w:numFmt w:val="bullet"/>
      <w:lvlText w:val="o"/>
      <w:lvlJc w:val="left"/>
      <w:pPr>
        <w:ind w:left="6109" w:hanging="360"/>
      </w:pPr>
      <w:rPr>
        <w:rFonts w:ascii="Courier New" w:cs="Courier New" w:eastAsia="Courier New" w:hAnsi="Courier New"/>
      </w:rPr>
    </w:lvl>
    <w:lvl w:ilvl="8">
      <w:start w:val="1"/>
      <w:numFmt w:val="bullet"/>
      <w:lvlText w:val="▪"/>
      <w:lvlJc w:val="left"/>
      <w:pPr>
        <w:ind w:left="6829" w:hanging="360"/>
      </w:pPr>
      <w:rPr>
        <w:rFonts w:ascii="Noto Sans Symbols" w:cs="Noto Sans Symbols" w:eastAsia="Noto Sans Symbols" w:hAnsi="Noto Sans Symbols"/>
      </w:rPr>
    </w:lvl>
  </w:abstractNum>
  <w:abstractNum w:abstractNumId="3">
    <w:lvl w:ilvl="0">
      <w:start w:val="1"/>
      <w:numFmt w:val="decimal"/>
      <w:lvlText w:val="%1-"/>
      <w:lvlJc w:val="left"/>
      <w:pPr>
        <w:ind w:left="1701" w:hanging="360"/>
      </w:pPr>
      <w:rPr/>
    </w:lvl>
    <w:lvl w:ilvl="1">
      <w:start w:val="1"/>
      <w:numFmt w:val="lowerLetter"/>
      <w:lvlText w:val="%2."/>
      <w:lvlJc w:val="left"/>
      <w:pPr>
        <w:ind w:left="2421" w:hanging="360"/>
      </w:pPr>
      <w:rPr/>
    </w:lvl>
    <w:lvl w:ilvl="2">
      <w:start w:val="1"/>
      <w:numFmt w:val="lowerRoman"/>
      <w:lvlText w:val="%3."/>
      <w:lvlJc w:val="right"/>
      <w:pPr>
        <w:ind w:left="3141" w:hanging="180"/>
      </w:pPr>
      <w:rPr/>
    </w:lvl>
    <w:lvl w:ilvl="3">
      <w:start w:val="1"/>
      <w:numFmt w:val="decimal"/>
      <w:lvlText w:val="%4."/>
      <w:lvlJc w:val="left"/>
      <w:pPr>
        <w:ind w:left="3861" w:hanging="360"/>
      </w:pPr>
      <w:rPr/>
    </w:lvl>
    <w:lvl w:ilvl="4">
      <w:start w:val="1"/>
      <w:numFmt w:val="lowerLetter"/>
      <w:lvlText w:val="%5."/>
      <w:lvlJc w:val="left"/>
      <w:pPr>
        <w:ind w:left="4581" w:hanging="360"/>
      </w:pPr>
      <w:rPr/>
    </w:lvl>
    <w:lvl w:ilvl="5">
      <w:start w:val="1"/>
      <w:numFmt w:val="lowerRoman"/>
      <w:lvlText w:val="%6."/>
      <w:lvlJc w:val="right"/>
      <w:pPr>
        <w:ind w:left="5301" w:hanging="180"/>
      </w:pPr>
      <w:rPr/>
    </w:lvl>
    <w:lvl w:ilvl="6">
      <w:start w:val="1"/>
      <w:numFmt w:val="decimal"/>
      <w:lvlText w:val="%7."/>
      <w:lvlJc w:val="left"/>
      <w:pPr>
        <w:ind w:left="6021" w:hanging="360"/>
      </w:pPr>
      <w:rPr/>
    </w:lvl>
    <w:lvl w:ilvl="7">
      <w:start w:val="1"/>
      <w:numFmt w:val="lowerLetter"/>
      <w:lvlText w:val="%8."/>
      <w:lvlJc w:val="left"/>
      <w:pPr>
        <w:ind w:left="6741" w:hanging="360"/>
      </w:pPr>
      <w:rPr/>
    </w:lvl>
    <w:lvl w:ilvl="8">
      <w:start w:val="1"/>
      <w:numFmt w:val="lowerRoman"/>
      <w:lvlText w:val="%9."/>
      <w:lvlJc w:val="right"/>
      <w:pPr>
        <w:ind w:left="7461"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widowControl w:val="0"/>
        <w:spacing w:after="100" w:before="1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widowControl w:val="1"/>
      <w:spacing w:after="120" w:before="120" w:lineRule="auto"/>
      <w:ind w:left="414" w:right="-48"/>
      <w:jc w:val="both"/>
    </w:pPr>
    <w:rPr>
      <w:sz w:val="22"/>
      <w:szCs w:val="22"/>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EA6C7C"/>
    <w:pPr>
      <w:widowControl w:val="0"/>
      <w:spacing w:after="100" w:before="100" w:line="240" w:lineRule="auto"/>
    </w:pPr>
    <w:rPr>
      <w:rFonts w:ascii="Times New Roman" w:cs="Times New Roman" w:eastAsia="Times New Roman" w:hAnsi="Times New Roman"/>
      <w:snapToGrid w:val="0"/>
      <w:sz w:val="24"/>
      <w:szCs w:val="20"/>
      <w:lang w:val="en-US"/>
    </w:rPr>
  </w:style>
  <w:style w:type="paragraph" w:styleId="Heading4">
    <w:name w:val="heading 4"/>
    <w:basedOn w:val="Normal"/>
    <w:next w:val="Normal"/>
    <w:link w:val="Heading4Char"/>
    <w:autoRedefine w:val="1"/>
    <w:qFormat w:val="1"/>
    <w:rsid w:val="001916FC"/>
    <w:pPr>
      <w:widowControl w:val="1"/>
      <w:spacing w:after="120" w:before="120"/>
      <w:ind w:left="414" w:right="-48"/>
      <w:jc w:val="both"/>
      <w:outlineLvl w:val="3"/>
    </w:pPr>
    <w:rPr>
      <w:sz w:val="22"/>
      <w:szCs w:val="22"/>
      <w:lang w:val="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Emphasis">
    <w:name w:val="Emphasis"/>
    <w:uiPriority w:val="20"/>
    <w:qFormat w:val="1"/>
    <w:rsid w:val="00EA6C7C"/>
    <w:rPr>
      <w:i w:val="1"/>
    </w:rPr>
  </w:style>
  <w:style w:type="character" w:styleId="Strong">
    <w:name w:val="Strong"/>
    <w:uiPriority w:val="22"/>
    <w:qFormat w:val="1"/>
    <w:rsid w:val="00EA6C7C"/>
    <w:rPr>
      <w:b w:val="1"/>
    </w:rPr>
  </w:style>
  <w:style w:type="paragraph" w:styleId="Blockquote" w:customStyle="1">
    <w:name w:val="Blockquote"/>
    <w:basedOn w:val="Normal"/>
    <w:rsid w:val="00EA6C7C"/>
    <w:pPr>
      <w:ind w:left="360" w:right="360"/>
    </w:pPr>
  </w:style>
  <w:style w:type="paragraph" w:styleId="ListParagraph">
    <w:name w:val="List Paragraph"/>
    <w:basedOn w:val="Normal"/>
    <w:uiPriority w:val="34"/>
    <w:qFormat w:val="1"/>
    <w:rsid w:val="00EA6C7C"/>
    <w:pPr>
      <w:ind w:left="720"/>
      <w:contextualSpacing w:val="1"/>
    </w:pPr>
  </w:style>
  <w:style w:type="character" w:styleId="Hyperlink">
    <w:name w:val="Hyperlink"/>
    <w:rsid w:val="00CA6501"/>
    <w:rPr>
      <w:color w:val="0000ff"/>
      <w:u w:val="single"/>
    </w:rPr>
  </w:style>
  <w:style w:type="paragraph" w:styleId="FootnoteText">
    <w:name w:val="footnote text"/>
    <w:basedOn w:val="Normal"/>
    <w:link w:val="FootnoteTextChar"/>
    <w:uiPriority w:val="99"/>
    <w:semiHidden w:val="1"/>
    <w:unhideWhenUsed w:val="1"/>
    <w:rsid w:val="000A4362"/>
    <w:pPr>
      <w:spacing w:after="0" w:before="0"/>
    </w:pPr>
    <w:rPr>
      <w:sz w:val="20"/>
    </w:rPr>
  </w:style>
  <w:style w:type="character" w:styleId="FootnoteTextChar" w:customStyle="1">
    <w:name w:val="Footnote Text Char"/>
    <w:basedOn w:val="DefaultParagraphFont"/>
    <w:link w:val="FootnoteText"/>
    <w:uiPriority w:val="99"/>
    <w:semiHidden w:val="1"/>
    <w:rsid w:val="000A4362"/>
    <w:rPr>
      <w:rFonts w:ascii="Times New Roman" w:cs="Times New Roman" w:eastAsia="Times New Roman" w:hAnsi="Times New Roman"/>
      <w:snapToGrid w:val="0"/>
      <w:sz w:val="20"/>
      <w:szCs w:val="20"/>
      <w:lang w:val="en-US"/>
    </w:rPr>
  </w:style>
  <w:style w:type="character" w:styleId="FootnoteReference">
    <w:name w:val="footnote reference"/>
    <w:uiPriority w:val="99"/>
    <w:rsid w:val="000A4362"/>
    <w:rPr>
      <w:vertAlign w:val="superscript"/>
    </w:rPr>
  </w:style>
  <w:style w:type="paragraph" w:styleId="PRAGHeading2" w:customStyle="1">
    <w:name w:val="PRAG Heading 2"/>
    <w:basedOn w:val="Normal"/>
    <w:rsid w:val="00AA22A5"/>
    <w:pPr>
      <w:numPr>
        <w:numId w:val="7"/>
      </w:numPr>
    </w:pPr>
    <w:rPr>
      <w:lang w:val="fr-FR"/>
    </w:rPr>
  </w:style>
  <w:style w:type="paragraph" w:styleId="Default" w:customStyle="1">
    <w:name w:val="Default"/>
    <w:rsid w:val="00AA22A5"/>
    <w:pPr>
      <w:autoSpaceDE w:val="0"/>
      <w:autoSpaceDN w:val="0"/>
      <w:adjustRightInd w:val="0"/>
      <w:spacing w:after="0" w:line="240" w:lineRule="auto"/>
    </w:pPr>
    <w:rPr>
      <w:rFonts w:ascii="Minion Pro" w:cs="Minion Pro" w:eastAsia="Times New Roman" w:hAnsi="Minion Pro"/>
      <w:color w:val="000000"/>
      <w:sz w:val="24"/>
      <w:szCs w:val="24"/>
      <w:lang w:eastAsia="en-GB"/>
    </w:rPr>
  </w:style>
  <w:style w:type="paragraph" w:styleId="Header">
    <w:name w:val="header"/>
    <w:basedOn w:val="Normal"/>
    <w:link w:val="HeaderChar"/>
    <w:uiPriority w:val="99"/>
    <w:unhideWhenUsed w:val="1"/>
    <w:rsid w:val="00B2271A"/>
    <w:pPr>
      <w:tabs>
        <w:tab w:val="center" w:pos="4536"/>
        <w:tab w:val="right" w:pos="9072"/>
      </w:tabs>
      <w:spacing w:after="0" w:before="0"/>
    </w:pPr>
  </w:style>
  <w:style w:type="character" w:styleId="HeaderChar" w:customStyle="1">
    <w:name w:val="Header Char"/>
    <w:basedOn w:val="DefaultParagraphFont"/>
    <w:link w:val="Header"/>
    <w:uiPriority w:val="99"/>
    <w:rsid w:val="00B2271A"/>
    <w:rPr>
      <w:rFonts w:ascii="Times New Roman" w:cs="Times New Roman" w:eastAsia="Times New Roman" w:hAnsi="Times New Roman"/>
      <w:snapToGrid w:val="0"/>
      <w:sz w:val="24"/>
      <w:szCs w:val="20"/>
      <w:lang w:val="en-US"/>
    </w:rPr>
  </w:style>
  <w:style w:type="paragraph" w:styleId="Footer">
    <w:name w:val="footer"/>
    <w:basedOn w:val="Normal"/>
    <w:link w:val="FooterChar"/>
    <w:uiPriority w:val="99"/>
    <w:unhideWhenUsed w:val="1"/>
    <w:rsid w:val="00B2271A"/>
    <w:pPr>
      <w:tabs>
        <w:tab w:val="center" w:pos="4536"/>
        <w:tab w:val="right" w:pos="9072"/>
      </w:tabs>
      <w:spacing w:after="0" w:before="0"/>
    </w:pPr>
  </w:style>
  <w:style w:type="character" w:styleId="FooterChar" w:customStyle="1">
    <w:name w:val="Footer Char"/>
    <w:basedOn w:val="DefaultParagraphFont"/>
    <w:link w:val="Footer"/>
    <w:uiPriority w:val="99"/>
    <w:rsid w:val="00B2271A"/>
    <w:rPr>
      <w:rFonts w:ascii="Times New Roman" w:cs="Times New Roman" w:eastAsia="Times New Roman" w:hAnsi="Times New Roman"/>
      <w:snapToGrid w:val="0"/>
      <w:sz w:val="24"/>
      <w:szCs w:val="20"/>
      <w:lang w:val="en-US"/>
    </w:rPr>
  </w:style>
  <w:style w:type="paragraph" w:styleId="BalloonText">
    <w:name w:val="Balloon Text"/>
    <w:basedOn w:val="Normal"/>
    <w:link w:val="BalloonTextChar"/>
    <w:uiPriority w:val="99"/>
    <w:semiHidden w:val="1"/>
    <w:unhideWhenUsed w:val="1"/>
    <w:rsid w:val="009A3842"/>
    <w:pPr>
      <w:spacing w:after="0" w:before="0"/>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9A3842"/>
    <w:rPr>
      <w:rFonts w:ascii="Tahoma" w:cs="Tahoma" w:eastAsia="Times New Roman" w:hAnsi="Tahoma"/>
      <w:snapToGrid w:val="0"/>
      <w:sz w:val="16"/>
      <w:szCs w:val="16"/>
      <w:lang w:val="en-US"/>
    </w:rPr>
  </w:style>
  <w:style w:type="character" w:styleId="CommentReference">
    <w:name w:val="annotation reference"/>
    <w:basedOn w:val="DefaultParagraphFont"/>
    <w:uiPriority w:val="99"/>
    <w:unhideWhenUsed w:val="1"/>
    <w:rsid w:val="00CC5DD2"/>
    <w:rPr>
      <w:sz w:val="16"/>
      <w:szCs w:val="16"/>
    </w:rPr>
  </w:style>
  <w:style w:type="paragraph" w:styleId="CommentText">
    <w:name w:val="annotation text"/>
    <w:basedOn w:val="Normal"/>
    <w:link w:val="CommentTextChar"/>
    <w:unhideWhenUsed w:val="1"/>
    <w:rsid w:val="00CC5DD2"/>
    <w:rPr>
      <w:sz w:val="20"/>
    </w:rPr>
  </w:style>
  <w:style w:type="character" w:styleId="CommentTextChar" w:customStyle="1">
    <w:name w:val="Comment Text Char"/>
    <w:basedOn w:val="DefaultParagraphFont"/>
    <w:link w:val="CommentText"/>
    <w:rsid w:val="00CC5DD2"/>
    <w:rPr>
      <w:rFonts w:ascii="Times New Roman" w:cs="Times New Roman" w:eastAsia="Times New Roman" w:hAnsi="Times New Roman"/>
      <w:snapToGrid w:val="0"/>
      <w:sz w:val="20"/>
      <w:szCs w:val="20"/>
      <w:lang w:val="en-US"/>
    </w:rPr>
  </w:style>
  <w:style w:type="paragraph" w:styleId="CommentSubject">
    <w:name w:val="annotation subject"/>
    <w:basedOn w:val="CommentText"/>
    <w:next w:val="CommentText"/>
    <w:link w:val="CommentSubjectChar"/>
    <w:uiPriority w:val="99"/>
    <w:semiHidden w:val="1"/>
    <w:unhideWhenUsed w:val="1"/>
    <w:rsid w:val="00CC5DD2"/>
    <w:rPr>
      <w:b w:val="1"/>
      <w:bCs w:val="1"/>
    </w:rPr>
  </w:style>
  <w:style w:type="character" w:styleId="CommentSubjectChar" w:customStyle="1">
    <w:name w:val="Comment Subject Char"/>
    <w:basedOn w:val="CommentTextChar"/>
    <w:link w:val="CommentSubject"/>
    <w:uiPriority w:val="99"/>
    <w:semiHidden w:val="1"/>
    <w:rsid w:val="00CC5DD2"/>
    <w:rPr>
      <w:rFonts w:ascii="Times New Roman" w:cs="Times New Roman" w:eastAsia="Times New Roman" w:hAnsi="Times New Roman"/>
      <w:b w:val="1"/>
      <w:bCs w:val="1"/>
      <w:snapToGrid w:val="0"/>
      <w:sz w:val="20"/>
      <w:szCs w:val="20"/>
      <w:lang w:val="en-US"/>
    </w:rPr>
  </w:style>
  <w:style w:type="character" w:styleId="Heading4Char" w:customStyle="1">
    <w:name w:val="Heading 4 Char"/>
    <w:basedOn w:val="DefaultParagraphFont"/>
    <w:link w:val="Heading4"/>
    <w:rsid w:val="001916FC"/>
    <w:rPr>
      <w:rFonts w:ascii="Times New Roman" w:cs="Times New Roman" w:eastAsia="Times New Roman" w:hAnsi="Times New Roman"/>
      <w:snapToGrid w:val="0"/>
    </w:rPr>
  </w:style>
  <w:style w:type="character" w:styleId="Definition" w:customStyle="1">
    <w:name w:val="Definition"/>
    <w:rsid w:val="00E8713A"/>
    <w:rPr>
      <w:i w:val="1"/>
    </w:rPr>
  </w:style>
  <w:style w:type="paragraph" w:styleId="H6" w:customStyle="1">
    <w:name w:val="H6"/>
    <w:basedOn w:val="Normal"/>
    <w:next w:val="Normal"/>
    <w:rsid w:val="000557AC"/>
    <w:pPr>
      <w:keepNext w:val="1"/>
      <w:outlineLvl w:val="6"/>
    </w:pPr>
    <w:rPr>
      <w:b w:val="1"/>
      <w:sz w:val="16"/>
    </w:rPr>
  </w:style>
  <w:style w:type="character" w:styleId="FollowedHyperlink">
    <w:name w:val="FollowedHyperlink"/>
    <w:basedOn w:val="DefaultParagraphFont"/>
    <w:uiPriority w:val="99"/>
    <w:semiHidden w:val="1"/>
    <w:unhideWhenUsed w:val="1"/>
    <w:rsid w:val="00757D90"/>
    <w:rPr>
      <w:color w:val="800080" w:themeColor="followedHyperlink"/>
      <w:u w:val="single"/>
    </w:rPr>
  </w:style>
  <w:style w:type="paragraph" w:styleId="DefinitionTerm" w:customStyle="1">
    <w:name w:val="Definition Term"/>
    <w:basedOn w:val="Normal"/>
    <w:next w:val="Normal"/>
    <w:rsid w:val="00337E2A"/>
    <w:pPr>
      <w:spacing w:after="0" w:before="0"/>
    </w:pPr>
  </w:style>
  <w:style w:type="paragraph" w:styleId="Revision">
    <w:name w:val="Revision"/>
    <w:hidden w:val="1"/>
    <w:uiPriority w:val="99"/>
    <w:semiHidden w:val="1"/>
    <w:rsid w:val="00401FE1"/>
    <w:pPr>
      <w:spacing w:after="0" w:line="240" w:lineRule="auto"/>
    </w:pPr>
    <w:rPr>
      <w:rFonts w:ascii="Times New Roman" w:cs="Times New Roman" w:eastAsia="Times New Roman" w:hAnsi="Times New Roman"/>
      <w:snapToGrid w:val="0"/>
      <w:sz w:val="24"/>
      <w:szCs w:val="20"/>
      <w:lang w:val="en-US"/>
    </w:rPr>
  </w:style>
  <w:style w:type="paragraph" w:styleId="Subtitle">
    <w:name w:val="Subtitle"/>
    <w:basedOn w:val="Normal"/>
    <w:link w:val="SubtitleChar"/>
    <w:qFormat w:val="1"/>
    <w:rsid w:val="004759A5"/>
    <w:pPr>
      <w:widowControl w:val="1"/>
      <w:spacing w:after="120" w:before="120"/>
      <w:jc w:val="center"/>
    </w:pPr>
    <w:rPr>
      <w:rFonts w:ascii="Arial" w:hAnsi="Arial"/>
      <w:b w:val="1"/>
      <w:sz w:val="28"/>
      <w:lang w:val="fr-BE"/>
    </w:rPr>
  </w:style>
  <w:style w:type="character" w:styleId="SubtitleChar" w:customStyle="1">
    <w:name w:val="Subtitle Char"/>
    <w:basedOn w:val="DefaultParagraphFont"/>
    <w:link w:val="Subtitle"/>
    <w:rsid w:val="004759A5"/>
    <w:rPr>
      <w:rFonts w:ascii="Arial" w:cs="Times New Roman" w:eastAsia="Times New Roman" w:hAnsi="Arial"/>
      <w:b w:val="1"/>
      <w:snapToGrid w:val="0"/>
      <w:sz w:val="28"/>
      <w:szCs w:val="20"/>
      <w:lang w:val="fr-BE"/>
    </w:rPr>
  </w:style>
  <w:style w:type="paragraph" w:styleId="BodyText">
    <w:name w:val="Body Text"/>
    <w:basedOn w:val="Normal"/>
    <w:link w:val="BodyTextChar"/>
    <w:rsid w:val="006A0BB1"/>
    <w:pPr>
      <w:widowControl w:val="1"/>
      <w:spacing w:after="0" w:before="0"/>
    </w:pPr>
    <w:rPr>
      <w:snapToGrid w:val="1"/>
      <w:lang w:eastAsia="en-GB" w:val="en-GB"/>
    </w:rPr>
  </w:style>
  <w:style w:type="character" w:styleId="BodyTextChar" w:customStyle="1">
    <w:name w:val="Body Text Char"/>
    <w:basedOn w:val="DefaultParagraphFont"/>
    <w:link w:val="BodyText"/>
    <w:rsid w:val="006A0BB1"/>
    <w:rPr>
      <w:rFonts w:ascii="Times New Roman" w:cs="Times New Roman" w:eastAsia="Times New Roman" w:hAnsi="Times New Roman"/>
      <w:sz w:val="24"/>
      <w:szCs w:val="20"/>
      <w:lang w:eastAsia="en-GB"/>
    </w:rPr>
  </w:style>
  <w:style w:type="character" w:styleId="UnresolvedMention">
    <w:name w:val="Unresolved Mention"/>
    <w:basedOn w:val="DefaultParagraphFont"/>
    <w:uiPriority w:val="99"/>
    <w:semiHidden w:val="1"/>
    <w:unhideWhenUsed w:val="1"/>
    <w:rsid w:val="00510B7C"/>
    <w:rPr>
      <w:color w:val="605e5c"/>
      <w:shd w:color="auto" w:fill="e1dfdd" w:val="clear"/>
    </w:rPr>
  </w:style>
  <w:style w:type="paragraph" w:styleId="Subtitle">
    <w:name w:val="Subtitle"/>
    <w:basedOn w:val="Normal"/>
    <w:next w:val="Normal"/>
    <w:pPr>
      <w:widowControl w:val="1"/>
      <w:spacing w:after="120" w:before="120" w:lineRule="auto"/>
      <w:jc w:val="center"/>
    </w:pPr>
    <w:rPr>
      <w:rFonts w:ascii="Arial" w:cs="Arial" w:eastAsia="Arial" w:hAnsi="Arial"/>
      <w:b w:val="1"/>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yperlink" Target="mailto:administrator@epoka.edu.al" TargetMode="External"/><Relationship Id="rId10" Type="http://schemas.openxmlformats.org/officeDocument/2006/relationships/hyperlink" Target="http://www.epoka.edu.al" TargetMode="External"/><Relationship Id="rId13" Type="http://schemas.openxmlformats.org/officeDocument/2006/relationships/footer" Target="footer1.xml"/><Relationship Id="rId12" Type="http://schemas.openxmlformats.org/officeDocument/2006/relationships/hyperlink" Target="mailto:rhoxha@epoka.edu.a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ttf"/><Relationship Id="rId2" Type="http://schemas.openxmlformats.org/officeDocument/2006/relationships/font" Target="fonts/EBGaramond-bold.ttf"/><Relationship Id="rId3" Type="http://schemas.openxmlformats.org/officeDocument/2006/relationships/font" Target="fonts/EBGaramond-italic.ttf"/><Relationship Id="rId4" Type="http://schemas.openxmlformats.org/officeDocument/2006/relationships/font" Target="fonts/EB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HjABIFJQUux/KWowuyxjHPOEBg==">AMUW2mWGQwGDw5y/Cpp2C03BFWt0g27y4VVwjj98veJ0lZpqYyTlUOhU9oVDjuCb1zVXHkOjEzvkOgSmnZ1rw5Ry4JTxEXkB3ZwdyygXOhbMXZcVVkVT618=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2020-07-14T13:39:00Z</dcterms:created>
  <dc:creator>REYNOLDS Paul (DEVCO)</dc:creator>
</cp:coreProperties>
</file>